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19EE" w:rsidRDefault="008817BD" w:rsidP="008817BD">
      <w:pPr>
        <w:spacing w:beforeLines="50" w:before="156" w:afterLines="50" w:after="156" w:line="540" w:lineRule="exact"/>
        <w:jc w:val="center"/>
        <w:rPr>
          <w:rFonts w:ascii="方正小标宋简体" w:eastAsia="方正小标宋简体" w:hAnsi="Times New Roman"/>
          <w:sz w:val="36"/>
          <w:szCs w:val="36"/>
        </w:rPr>
      </w:pPr>
      <w:r>
        <w:rPr>
          <w:rFonts w:ascii="方正小标宋简体" w:eastAsia="方正小标宋简体" w:hAnsi="Times New Roman" w:hint="eastAsia"/>
          <w:sz w:val="36"/>
          <w:szCs w:val="36"/>
        </w:rPr>
        <w:t>研究生教育创新计划</w:t>
      </w:r>
      <w:r w:rsidR="00337C97">
        <w:rPr>
          <w:rFonts w:ascii="方正小标宋简体" w:eastAsia="方正小标宋简体" w:hAnsi="Times New Roman" w:hint="eastAsia"/>
          <w:sz w:val="36"/>
          <w:szCs w:val="36"/>
        </w:rPr>
        <w:t>申报管理规则</w:t>
      </w:r>
    </w:p>
    <w:p w:rsidR="009219EE" w:rsidRDefault="009219EE" w:rsidP="00E3055B">
      <w:pPr>
        <w:adjustRightInd w:val="0"/>
        <w:snapToGrid w:val="0"/>
        <w:spacing w:line="540" w:lineRule="exact"/>
        <w:ind w:firstLineChars="200" w:firstLine="560"/>
        <w:outlineLvl w:val="0"/>
        <w:rPr>
          <w:rFonts w:ascii="仿宋_GB2312" w:eastAsia="仿宋_GB2312" w:hAnsiTheme="minorEastAsia" w:cs="Times New Roman"/>
          <w:color w:val="FF0000"/>
          <w:sz w:val="28"/>
          <w:szCs w:val="28"/>
        </w:rPr>
      </w:pPr>
    </w:p>
    <w:p w:rsidR="009219EE" w:rsidRDefault="00337C97">
      <w:pPr>
        <w:pStyle w:val="af"/>
        <w:adjustRightInd w:val="0"/>
        <w:snapToGrid w:val="0"/>
        <w:spacing w:line="540" w:lineRule="exact"/>
        <w:ind w:firstLine="560"/>
        <w:outlineLvl w:val="0"/>
        <w:rPr>
          <w:rFonts w:ascii="黑体" w:eastAsia="黑体" w:hAnsi="黑体"/>
          <w:sz w:val="28"/>
          <w:szCs w:val="28"/>
        </w:rPr>
      </w:pPr>
      <w:r>
        <w:rPr>
          <w:rFonts w:ascii="黑体" w:eastAsia="黑体" w:hAnsi="黑体" w:hint="eastAsia"/>
          <w:sz w:val="28"/>
          <w:szCs w:val="28"/>
        </w:rPr>
        <w:t>一、经费资助方向</w:t>
      </w:r>
    </w:p>
    <w:p w:rsidR="009219EE" w:rsidRDefault="00337C97">
      <w:pPr>
        <w:spacing w:line="54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该类经费用于资助广东省研究生教育创新计划项目，具体包括：</w:t>
      </w:r>
    </w:p>
    <w:p w:rsidR="009219EE" w:rsidRDefault="00337C97">
      <w:pPr>
        <w:adjustRightInd w:val="0"/>
        <w:snapToGrid w:val="0"/>
        <w:spacing w:line="540" w:lineRule="exact"/>
        <w:ind w:firstLineChars="200" w:firstLine="562"/>
        <w:outlineLvl w:val="1"/>
        <w:rPr>
          <w:rFonts w:ascii="楷体_GB2312" w:eastAsia="楷体_GB2312" w:hAnsi="黑体" w:cs="Times New Roman"/>
          <w:b/>
          <w:sz w:val="28"/>
          <w:szCs w:val="28"/>
        </w:rPr>
      </w:pPr>
      <w:r>
        <w:rPr>
          <w:rFonts w:ascii="楷体_GB2312" w:eastAsia="楷体_GB2312" w:hAnsi="黑体" w:cs="Times New Roman" w:hint="eastAsia"/>
          <w:b/>
          <w:sz w:val="28"/>
          <w:szCs w:val="28"/>
        </w:rPr>
        <w:t>（一）研究生学术论坛及暑期学校</w:t>
      </w:r>
    </w:p>
    <w:p w:rsidR="009219EE" w:rsidRDefault="00337C97">
      <w:pPr>
        <w:spacing w:line="54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项目所属学科领域与国家、地区经济社会发展的实际需要密切相关，且近年来学科发展较快，学术活动比较活跃，新问题、新成果较多；所属学科在国内、省内有一定规模的研究生群体，且拟邀请的省内外相关高校达到一定的数量，能在本学科领域内产生一定的影响；拟邀请的专家学术造诣深，学风正派，学术声誉较高，在学科领域内有相当的影响力。</w:t>
      </w:r>
    </w:p>
    <w:p w:rsidR="009219EE" w:rsidRDefault="00337C97">
      <w:pPr>
        <w:spacing w:line="54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举办研究生学术论坛，旨在搭建拓宽研究生学术视野、启迪研究生创新智慧的学术交流平台。重点面向国内、外在学博士研究生，通过征文形式，选拔优秀学生进行学术交流，提高研究生的创新意识和学术交流能力。论坛以学生的自主学术交流为主，聘请国内外高水平专家学者担任点评，作专题前沿学术报告等。论坛应以相同一级学科、相近一级学科或更宽的口径（如同一学科门类）举办。一般以研究生培养单位为主体申报，每个单位原则上只能申报一个论坛，可以多个单位联合申报一个论坛。论坛实施时间一般为</w:t>
      </w: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4</w:t>
      </w:r>
      <w:r>
        <w:rPr>
          <w:rFonts w:ascii="Times New Roman" w:eastAsia="仿宋_GB2312" w:hAnsi="Times New Roman" w:cs="Times New Roman" w:hint="eastAsia"/>
          <w:sz w:val="28"/>
          <w:szCs w:val="28"/>
        </w:rPr>
        <w:t>天，正式代表一般为</w:t>
      </w:r>
      <w:r>
        <w:rPr>
          <w:rFonts w:ascii="Times New Roman" w:eastAsia="仿宋_GB2312" w:hAnsi="Times New Roman" w:cs="Times New Roman" w:hint="eastAsia"/>
          <w:sz w:val="28"/>
          <w:szCs w:val="28"/>
        </w:rPr>
        <w:t>60</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100</w:t>
      </w:r>
      <w:r>
        <w:rPr>
          <w:rFonts w:ascii="Times New Roman" w:eastAsia="仿宋_GB2312" w:hAnsi="Times New Roman" w:cs="Times New Roman" w:hint="eastAsia"/>
          <w:sz w:val="28"/>
          <w:szCs w:val="28"/>
        </w:rPr>
        <w:t>人，其中外校代表应超过一半。</w:t>
      </w:r>
    </w:p>
    <w:p w:rsidR="009219EE" w:rsidRDefault="00337C97">
      <w:pPr>
        <w:spacing w:line="54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举办研究生暑期学校，旨在拓宽研究生的学术视野，启发科研思路，提升学术能力。重点面向外校在读硕士生，也可适当招收少量优秀高年</w:t>
      </w:r>
      <w:r>
        <w:rPr>
          <w:rFonts w:ascii="Times New Roman" w:eastAsia="仿宋_GB2312" w:hAnsi="Times New Roman" w:cs="Times New Roman" w:hint="eastAsia"/>
          <w:sz w:val="28"/>
          <w:szCs w:val="28"/>
        </w:rPr>
        <w:lastRenderedPageBreak/>
        <w:t>级本科生作为旁听学员。邀请国内外学术水平高、教学经验丰富的知名专家、学者担任主讲教师，开设选修课程和作前沿学术报告。暑期学校一般以研究生培养单位为主体承办，每个单位原则上只能申报一个暑期学校。各培养单位不得将本单位研究生正常的课程和实践训练申报为暑期学校，应结合暑期学校活动有针对性地考察、吸收优秀硕士生报读我校博士研究生。暑期学校的实施时间一般为</w:t>
      </w: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周，正式学员招收人数为</w:t>
      </w:r>
      <w:r>
        <w:rPr>
          <w:rFonts w:ascii="Times New Roman" w:eastAsia="仿宋_GB2312" w:hAnsi="Times New Roman" w:cs="Times New Roman" w:hint="eastAsia"/>
          <w:sz w:val="28"/>
          <w:szCs w:val="28"/>
        </w:rPr>
        <w:t>50</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100</w:t>
      </w:r>
      <w:r>
        <w:rPr>
          <w:rFonts w:ascii="Times New Roman" w:eastAsia="仿宋_GB2312" w:hAnsi="Times New Roman" w:cs="Times New Roman" w:hint="eastAsia"/>
          <w:sz w:val="28"/>
          <w:szCs w:val="28"/>
        </w:rPr>
        <w:t>人，校外师生应超过一半。暑期学校结束应组织考核，考核合格者颁发结业证，并可对该课程登记</w:t>
      </w:r>
      <w:r>
        <w:rPr>
          <w:rFonts w:ascii="Times New Roman" w:eastAsia="仿宋_GB2312" w:hAnsi="Times New Roman" w:cs="Times New Roman" w:hint="eastAsia"/>
          <w:sz w:val="28"/>
          <w:szCs w:val="28"/>
        </w:rPr>
        <w:t>1~2</w:t>
      </w:r>
      <w:r>
        <w:rPr>
          <w:rFonts w:ascii="Times New Roman" w:eastAsia="仿宋_GB2312" w:hAnsi="Times New Roman" w:cs="Times New Roman" w:hint="eastAsia"/>
          <w:sz w:val="28"/>
          <w:szCs w:val="28"/>
        </w:rPr>
        <w:t>个学分。</w:t>
      </w:r>
    </w:p>
    <w:p w:rsidR="009219EE" w:rsidRDefault="00337C97">
      <w:pPr>
        <w:adjustRightInd w:val="0"/>
        <w:snapToGrid w:val="0"/>
        <w:spacing w:line="540" w:lineRule="exact"/>
        <w:ind w:firstLineChars="200" w:firstLine="562"/>
        <w:outlineLvl w:val="1"/>
        <w:rPr>
          <w:rFonts w:ascii="楷体_GB2312" w:eastAsia="楷体_GB2312" w:hAnsi="黑体" w:cs="Times New Roman"/>
          <w:b/>
          <w:sz w:val="28"/>
          <w:szCs w:val="28"/>
        </w:rPr>
      </w:pPr>
      <w:r>
        <w:rPr>
          <w:rFonts w:ascii="楷体_GB2312" w:eastAsia="楷体_GB2312" w:hAnsi="黑体" w:cs="Times New Roman" w:hint="eastAsia"/>
          <w:b/>
          <w:sz w:val="28"/>
          <w:szCs w:val="28"/>
        </w:rPr>
        <w:t>（二）学位与研究生教育改革研究项目</w:t>
      </w:r>
    </w:p>
    <w:p w:rsidR="009219EE" w:rsidRDefault="00337C97">
      <w:pPr>
        <w:spacing w:line="54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以提高研究生培养质量为目的，针对广东省及高校面临的实际问题进行研究，科学总结学位与研究生教育的发展规律，准确把握时代特征，提出的理论应具有原创性和开拓性，提出的建议和措施应具有针对性、实效性和可操作性；开发的软件等应注重社会效益和使用价值。鼓励对本单位的博士生生源质量、导师队伍质量、博士生国际化培养、博士生培养过程考核与分流、博士生培养质量评价、博士毕业生满意度调查及就业情况跟踪、博士研究生教育改革等方面进行研究。</w:t>
      </w:r>
    </w:p>
    <w:p w:rsidR="009219EE" w:rsidRDefault="00337C97">
      <w:pPr>
        <w:spacing w:line="54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申请研究项目的主持人应符合以下条件：从事学位与研究生教育的教学或管理工作，对学位与研究生教育的改革发展有高度热情和独到见解，能真正承担和组织研究项目的实施和有关成果的推广应用。项目主持人须为在岗人员，具有副高以上（含副高）技术职称，并主持过省部级以上（含省部级）级别项目研究。</w:t>
      </w:r>
    </w:p>
    <w:p w:rsidR="009219EE" w:rsidRDefault="00337C97">
      <w:pPr>
        <w:adjustRightInd w:val="0"/>
        <w:snapToGrid w:val="0"/>
        <w:spacing w:line="540" w:lineRule="exact"/>
        <w:ind w:firstLineChars="200" w:firstLine="562"/>
        <w:outlineLvl w:val="1"/>
        <w:rPr>
          <w:rFonts w:ascii="楷体_GB2312" w:eastAsia="楷体_GB2312" w:hAnsi="黑体" w:cs="Times New Roman"/>
          <w:b/>
          <w:color w:val="000000" w:themeColor="text1"/>
          <w:sz w:val="28"/>
          <w:szCs w:val="28"/>
        </w:rPr>
      </w:pPr>
      <w:r>
        <w:rPr>
          <w:rFonts w:ascii="楷体_GB2312" w:eastAsia="楷体_GB2312" w:hAnsi="黑体" w:cs="Times New Roman" w:hint="eastAsia"/>
          <w:b/>
          <w:color w:val="000000" w:themeColor="text1"/>
          <w:sz w:val="28"/>
          <w:szCs w:val="28"/>
        </w:rPr>
        <w:t>（三）研究生示范课程建设项目</w:t>
      </w:r>
    </w:p>
    <w:p w:rsidR="009219EE" w:rsidRDefault="00337C97">
      <w:pPr>
        <w:spacing w:line="54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课程的建设和改革以先进的教学理念为指导，较好地体现现代研究</w:t>
      </w:r>
      <w:r>
        <w:rPr>
          <w:rFonts w:ascii="Times New Roman" w:eastAsia="仿宋_GB2312" w:hAnsi="Times New Roman" w:cs="Times New Roman" w:hint="eastAsia"/>
          <w:sz w:val="28"/>
          <w:szCs w:val="28"/>
        </w:rPr>
        <w:lastRenderedPageBreak/>
        <w:t>生教育的特点</w:t>
      </w:r>
      <w:r>
        <w:rPr>
          <w:rFonts w:eastAsia="仿宋_GB2312"/>
          <w:color w:val="000000" w:themeColor="text1"/>
          <w:sz w:val="28"/>
          <w:szCs w:val="28"/>
        </w:rPr>
        <w:t>，提升专业课程在研究生培养中的骨干性作用，推动研究生课程水平的整体跃升。</w:t>
      </w:r>
      <w:r>
        <w:rPr>
          <w:rFonts w:ascii="Times New Roman" w:eastAsia="仿宋_GB2312" w:hAnsi="Times New Roman" w:cs="Times New Roman" w:hint="eastAsia"/>
          <w:sz w:val="28"/>
          <w:szCs w:val="28"/>
        </w:rPr>
        <w:t>课程内容较好地反映本领域的前沿及发展趋势，有足够的广度或深度，与本科生同类或相近课程知识要有显著区别；课程有一套完整的、较好体现培养目标要求的选用或自编教材（包括教材讲义、教学指导书、教学参考书和教学课件）；实验（实践）型课程具有相应的良好实验条件和实践教学条件；教学模式、教学方法先进，促进学生自主性、研究性、探索性学习成效明显；课程教学手段先进，积极采用计算机辅助教学、多媒体教学技术等现代信息技术，多媒体教学与网络教学资源开发建设成果丰富，积极创造条件使用外语或双语进行教学，具有实行课程开放的条件。</w:t>
      </w:r>
    </w:p>
    <w:p w:rsidR="009219EE" w:rsidRDefault="00337C97">
      <w:pPr>
        <w:spacing w:line="540" w:lineRule="exact"/>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sz w:val="28"/>
          <w:szCs w:val="28"/>
        </w:rPr>
        <w:t>课程主讲教师（项目主持人）应有五年以上的研究生教学经验，</w:t>
      </w:r>
      <w:r>
        <w:rPr>
          <w:rFonts w:ascii="Times New Roman" w:eastAsia="仿宋_GB2312" w:hAnsi="Times New Roman" w:cs="Times New Roman" w:hint="eastAsia"/>
          <w:color w:val="000000" w:themeColor="text1"/>
          <w:sz w:val="28"/>
          <w:szCs w:val="28"/>
        </w:rPr>
        <w:t>具有教授职称</w:t>
      </w:r>
      <w:r>
        <w:rPr>
          <w:rFonts w:ascii="Times New Roman" w:eastAsia="仿宋_GB2312" w:hAnsi="Times New Roman" w:cs="Times New Roman" w:hint="eastAsia"/>
          <w:sz w:val="28"/>
          <w:szCs w:val="28"/>
        </w:rPr>
        <w:t>；科研能力较强，有比较突出的科研成果；教学水平高，教学改革与课程建设能力强。</w:t>
      </w:r>
    </w:p>
    <w:p w:rsidR="009219EE" w:rsidRDefault="00337C97">
      <w:pPr>
        <w:adjustRightInd w:val="0"/>
        <w:snapToGrid w:val="0"/>
        <w:spacing w:line="540" w:lineRule="exact"/>
        <w:ind w:firstLineChars="200" w:firstLine="562"/>
        <w:outlineLvl w:val="1"/>
        <w:rPr>
          <w:rFonts w:ascii="楷体_GB2312" w:eastAsia="楷体_GB2312" w:hAnsi="黑体" w:cs="Times New Roman"/>
          <w:b/>
          <w:sz w:val="28"/>
          <w:szCs w:val="28"/>
        </w:rPr>
      </w:pPr>
      <w:r>
        <w:rPr>
          <w:rFonts w:ascii="楷体_GB2312" w:eastAsia="楷体_GB2312" w:hAnsi="黑体" w:cs="Times New Roman" w:hint="eastAsia"/>
          <w:b/>
          <w:sz w:val="28"/>
          <w:szCs w:val="28"/>
        </w:rPr>
        <w:t>（四）广东省联合培养研究生示范基地</w:t>
      </w:r>
    </w:p>
    <w:p w:rsidR="009219EE" w:rsidRDefault="00337C97">
      <w:pPr>
        <w:spacing w:line="540" w:lineRule="exact"/>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sz w:val="28"/>
          <w:szCs w:val="28"/>
        </w:rPr>
        <w:t>研究生培养单位与科技创新型企业、科技创新型企业较密集的区域主管部门、行业管理部门或科研院所等建设联合培养研究生示范基地。项目负责人所在的二级单位核查项目申报内容及监督项目实施情况。合作单位应具有较高水平的科研队伍、相应的科研设备、科研平台及科研条件，有适合研究生参与的项目和比较充足的研究经费，同时能提供研究生进入“示范基地”学习、工作和生活的必要条件。合作双方应制定完善的研究生在“示范基地”的培养计划和规范的管理制度，并成立专门机构和设立专职人员负责落实、执行相应计划和制度，并负责研究生在“示范基地”期间的日常管理。合作双方应具有较好的合作培养研究</w:t>
      </w:r>
      <w:r>
        <w:rPr>
          <w:rFonts w:ascii="Times New Roman" w:eastAsia="仿宋_GB2312" w:hAnsi="Times New Roman" w:cs="Times New Roman" w:hint="eastAsia"/>
          <w:sz w:val="28"/>
          <w:szCs w:val="28"/>
        </w:rPr>
        <w:lastRenderedPageBreak/>
        <w:t>生或共同开展科学研究的工作基础，</w:t>
      </w:r>
      <w:r>
        <w:rPr>
          <w:rFonts w:ascii="Times New Roman" w:eastAsia="仿宋_GB2312" w:hAnsi="Times New Roman" w:cs="Times New Roman" w:hint="eastAsia"/>
          <w:color w:val="000000" w:themeColor="text1"/>
          <w:sz w:val="28"/>
          <w:szCs w:val="28"/>
        </w:rPr>
        <w:t>签订联合培养研究生示范基地合作协议。</w:t>
      </w:r>
    </w:p>
    <w:p w:rsidR="009219EE" w:rsidRDefault="00337C97">
      <w:pPr>
        <w:pStyle w:val="af"/>
        <w:adjustRightInd w:val="0"/>
        <w:snapToGrid w:val="0"/>
        <w:spacing w:line="540" w:lineRule="exact"/>
        <w:ind w:firstLine="560"/>
        <w:outlineLvl w:val="0"/>
        <w:rPr>
          <w:rFonts w:ascii="黑体" w:eastAsia="黑体" w:hAnsi="黑体"/>
          <w:color w:val="000000" w:themeColor="text1"/>
          <w:sz w:val="28"/>
          <w:szCs w:val="28"/>
        </w:rPr>
      </w:pPr>
      <w:r>
        <w:rPr>
          <w:rFonts w:ascii="黑体" w:eastAsia="黑体" w:hAnsi="黑体" w:hint="eastAsia"/>
          <w:color w:val="000000" w:themeColor="text1"/>
          <w:sz w:val="28"/>
          <w:szCs w:val="28"/>
        </w:rPr>
        <w:t>二</w:t>
      </w:r>
      <w:r>
        <w:rPr>
          <w:rFonts w:ascii="黑体" w:eastAsia="黑体" w:hAnsi="黑体"/>
          <w:color w:val="000000" w:themeColor="text1"/>
          <w:sz w:val="28"/>
          <w:szCs w:val="28"/>
        </w:rPr>
        <w:t>、</w:t>
      </w:r>
      <w:r>
        <w:rPr>
          <w:rFonts w:ascii="黑体" w:eastAsia="黑体" w:hAnsi="黑体" w:hint="eastAsia"/>
          <w:color w:val="000000" w:themeColor="text1"/>
          <w:sz w:val="28"/>
          <w:szCs w:val="28"/>
        </w:rPr>
        <w:t>经费资助标准及开支范围</w:t>
      </w:r>
    </w:p>
    <w:p w:rsidR="009219EE" w:rsidRDefault="00337C97">
      <w:pPr>
        <w:spacing w:line="540" w:lineRule="exact"/>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研究生学术论坛，一般每项资助</w:t>
      </w:r>
      <w:r>
        <w:rPr>
          <w:rFonts w:ascii="Times New Roman" w:eastAsia="仿宋_GB2312" w:hAnsi="Times New Roman" w:cs="Times New Roman" w:hint="eastAsia"/>
          <w:color w:val="000000" w:themeColor="text1"/>
          <w:sz w:val="28"/>
          <w:szCs w:val="28"/>
        </w:rPr>
        <w:t>1</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color w:val="000000" w:themeColor="text1"/>
          <w:sz w:val="28"/>
          <w:szCs w:val="28"/>
        </w:rPr>
        <w:t>15</w:t>
      </w:r>
      <w:r>
        <w:rPr>
          <w:rFonts w:ascii="Times New Roman" w:eastAsia="仿宋_GB2312" w:hAnsi="Times New Roman" w:cs="Times New Roman"/>
          <w:color w:val="000000" w:themeColor="text1"/>
          <w:sz w:val="28"/>
          <w:szCs w:val="28"/>
        </w:rPr>
        <w:t>万</w:t>
      </w:r>
      <w:r>
        <w:rPr>
          <w:rFonts w:ascii="Times New Roman" w:eastAsia="仿宋_GB2312" w:hAnsi="Times New Roman" w:cs="Times New Roman" w:hint="eastAsia"/>
          <w:color w:val="000000" w:themeColor="text1"/>
          <w:sz w:val="28"/>
          <w:szCs w:val="28"/>
        </w:rPr>
        <w:t>；研究生暑期学校，一般每项资助</w:t>
      </w:r>
      <w:r>
        <w:rPr>
          <w:rFonts w:ascii="Times New Roman" w:eastAsia="仿宋_GB2312" w:hAnsi="Times New Roman" w:cs="Times New Roman" w:hint="eastAsia"/>
          <w:color w:val="000000" w:themeColor="text1"/>
          <w:sz w:val="28"/>
          <w:szCs w:val="28"/>
        </w:rPr>
        <w:t>1</w:t>
      </w:r>
      <w:r>
        <w:rPr>
          <w:rFonts w:ascii="Times New Roman" w:eastAsia="仿宋_GB2312" w:hAnsi="Times New Roman" w:cs="Times New Roman"/>
          <w:color w:val="000000" w:themeColor="text1"/>
          <w:sz w:val="28"/>
          <w:szCs w:val="28"/>
        </w:rPr>
        <w:t>5</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color w:val="000000" w:themeColor="text1"/>
          <w:sz w:val="28"/>
          <w:szCs w:val="28"/>
        </w:rPr>
        <w:t>20</w:t>
      </w:r>
      <w:r>
        <w:rPr>
          <w:rFonts w:ascii="Times New Roman" w:eastAsia="仿宋_GB2312" w:hAnsi="Times New Roman" w:cs="Times New Roman" w:hint="eastAsia"/>
          <w:color w:val="000000" w:themeColor="text1"/>
          <w:sz w:val="28"/>
          <w:szCs w:val="28"/>
        </w:rPr>
        <w:t>万；学位与研究生教育改革研究项目，每项资助</w:t>
      </w:r>
      <w:r>
        <w:rPr>
          <w:rFonts w:ascii="Times New Roman" w:eastAsia="仿宋_GB2312" w:hAnsi="Times New Roman" w:cs="Times New Roman" w:hint="eastAsia"/>
          <w:color w:val="000000" w:themeColor="text1"/>
          <w:sz w:val="28"/>
          <w:szCs w:val="28"/>
        </w:rPr>
        <w:t>6</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hint="eastAsia"/>
          <w:color w:val="000000" w:themeColor="text1"/>
          <w:sz w:val="28"/>
          <w:szCs w:val="28"/>
        </w:rPr>
        <w:t>10</w:t>
      </w:r>
      <w:r>
        <w:rPr>
          <w:rFonts w:ascii="Times New Roman" w:eastAsia="仿宋_GB2312" w:hAnsi="Times New Roman" w:cs="Times New Roman" w:hint="eastAsia"/>
          <w:color w:val="000000" w:themeColor="text1"/>
          <w:sz w:val="28"/>
          <w:szCs w:val="28"/>
        </w:rPr>
        <w:t>万；研究生示范课程建设项目，一般每项资助</w:t>
      </w:r>
      <w:r>
        <w:rPr>
          <w:rFonts w:ascii="Times New Roman" w:eastAsia="仿宋_GB2312" w:hAnsi="Times New Roman" w:cs="Times New Roman" w:hint="eastAsia"/>
          <w:color w:val="000000" w:themeColor="text1"/>
          <w:sz w:val="28"/>
          <w:szCs w:val="28"/>
        </w:rPr>
        <w:t>5</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hint="eastAsia"/>
          <w:color w:val="000000" w:themeColor="text1"/>
          <w:sz w:val="28"/>
          <w:szCs w:val="28"/>
        </w:rPr>
        <w:t>8</w:t>
      </w:r>
      <w:r>
        <w:rPr>
          <w:rFonts w:ascii="Times New Roman" w:eastAsia="仿宋_GB2312" w:hAnsi="Times New Roman" w:cs="Times New Roman" w:hint="eastAsia"/>
          <w:color w:val="000000" w:themeColor="text1"/>
          <w:sz w:val="28"/>
          <w:szCs w:val="28"/>
        </w:rPr>
        <w:t>万；广东省联合培养研究生示范基地，一般每项资助</w:t>
      </w:r>
      <w:r>
        <w:rPr>
          <w:rFonts w:ascii="Times New Roman" w:eastAsia="仿宋_GB2312" w:hAnsi="Times New Roman" w:cs="Times New Roman" w:hint="eastAsia"/>
          <w:color w:val="000000" w:themeColor="text1"/>
          <w:sz w:val="28"/>
          <w:szCs w:val="28"/>
        </w:rPr>
        <w:t>10</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hint="eastAsia"/>
          <w:color w:val="000000" w:themeColor="text1"/>
          <w:sz w:val="28"/>
          <w:szCs w:val="28"/>
        </w:rPr>
        <w:t>15</w:t>
      </w:r>
      <w:r>
        <w:rPr>
          <w:rFonts w:ascii="Times New Roman" w:eastAsia="仿宋_GB2312" w:hAnsi="Times New Roman" w:cs="Times New Roman" w:hint="eastAsia"/>
          <w:color w:val="000000" w:themeColor="text1"/>
          <w:sz w:val="28"/>
          <w:szCs w:val="28"/>
        </w:rPr>
        <w:t>万。</w:t>
      </w:r>
    </w:p>
    <w:p w:rsidR="009219EE" w:rsidRDefault="00337C97">
      <w:pPr>
        <w:spacing w:line="540" w:lineRule="exact"/>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资助经费的使用与管理严格按照学校财务规定执行</w:t>
      </w:r>
      <w:r w:rsidR="00876CF3">
        <w:rPr>
          <w:rFonts w:ascii="Times New Roman" w:eastAsia="仿宋_GB2312" w:hAnsi="Times New Roman" w:cs="Times New Roman" w:hint="eastAsia"/>
          <w:color w:val="000000" w:themeColor="text1"/>
          <w:sz w:val="28"/>
          <w:szCs w:val="28"/>
        </w:rPr>
        <w:t>，</w:t>
      </w:r>
      <w:r w:rsidR="00876CF3" w:rsidRPr="00876CF3">
        <w:rPr>
          <w:rFonts w:ascii="Times New Roman" w:eastAsia="仿宋_GB2312" w:hAnsi="Times New Roman" w:cs="Times New Roman" w:hint="eastAsia"/>
          <w:color w:val="000000" w:themeColor="text1"/>
          <w:sz w:val="28"/>
          <w:szCs w:val="28"/>
        </w:rPr>
        <w:t>不得开支有工资性收入的人员工资、津补贴、绩效和福利支出，不得开支学生助研津贴，不得开支接待餐费，不得开支办公家具和固定资产类设备支出，不得分摊学校公共管理和运行费用，不得用于偿还学校债务、支付罚款、捐赠、赞助、对外投资等活动，不得用于与项目无关的或者按照国家规定不得列支的其他开支。</w:t>
      </w:r>
      <w:r w:rsidR="003A3C6A" w:rsidRPr="0078422E">
        <w:rPr>
          <w:rFonts w:ascii="Times New Roman" w:eastAsia="仿宋_GB2312" w:hAnsi="Times New Roman" w:cs="Times New Roman"/>
          <w:sz w:val="28"/>
          <w:szCs w:val="28"/>
        </w:rPr>
        <w:t>严禁超预算或无预算安排支出</w:t>
      </w:r>
      <w:r w:rsidR="003A3C6A">
        <w:rPr>
          <w:rFonts w:ascii="Times New Roman" w:eastAsia="仿宋_GB2312" w:hAnsi="Times New Roman" w:cs="Times New Roman" w:hint="eastAsia"/>
          <w:sz w:val="28"/>
          <w:szCs w:val="28"/>
        </w:rPr>
        <w:t>。</w:t>
      </w:r>
    </w:p>
    <w:p w:rsidR="009219EE" w:rsidRDefault="00337C97">
      <w:pPr>
        <w:pStyle w:val="af"/>
        <w:adjustRightInd w:val="0"/>
        <w:snapToGrid w:val="0"/>
        <w:spacing w:line="540" w:lineRule="exact"/>
        <w:ind w:firstLine="560"/>
        <w:outlineLvl w:val="0"/>
        <w:rPr>
          <w:rFonts w:ascii="黑体" w:eastAsia="黑体" w:hAnsi="黑体"/>
          <w:color w:val="000000" w:themeColor="text1"/>
          <w:sz w:val="28"/>
          <w:szCs w:val="28"/>
        </w:rPr>
      </w:pPr>
      <w:r>
        <w:rPr>
          <w:rFonts w:ascii="黑体" w:eastAsia="黑体" w:hAnsi="黑体" w:hint="eastAsia"/>
          <w:color w:val="000000" w:themeColor="text1"/>
          <w:sz w:val="28"/>
          <w:szCs w:val="28"/>
        </w:rPr>
        <w:t>三</w:t>
      </w:r>
      <w:r>
        <w:rPr>
          <w:rFonts w:ascii="黑体" w:eastAsia="黑体" w:hAnsi="黑体"/>
          <w:color w:val="000000" w:themeColor="text1"/>
          <w:sz w:val="28"/>
          <w:szCs w:val="28"/>
        </w:rPr>
        <w:t>、</w:t>
      </w:r>
      <w:r>
        <w:rPr>
          <w:rFonts w:ascii="黑体" w:eastAsia="黑体" w:hAnsi="黑体" w:hint="eastAsia"/>
          <w:color w:val="000000" w:themeColor="text1"/>
          <w:sz w:val="28"/>
          <w:szCs w:val="28"/>
        </w:rPr>
        <w:t>项目评审的原则、标准及程序</w:t>
      </w:r>
    </w:p>
    <w:p w:rsidR="009219EE" w:rsidRDefault="00337C97">
      <w:pPr>
        <w:spacing w:line="540" w:lineRule="exact"/>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项目的评审遵循限额范围内“择优资助”的原则。研究生学术论坛和暑期学校重点支持多年来持续举办、已产生较大社会影响力的项目。对于其他各类项目，尚有牵头负责的受资助项目未结项（验收）或申报内容已获得</w:t>
      </w:r>
      <w:r>
        <w:rPr>
          <w:rFonts w:ascii="Times New Roman" w:eastAsia="仿宋_GB2312" w:hAnsi="Times New Roman" w:cs="Times New Roman" w:hint="eastAsia"/>
          <w:sz w:val="28"/>
          <w:szCs w:val="28"/>
        </w:rPr>
        <w:t>过资助</w:t>
      </w:r>
      <w:r w:rsidR="00876CF3">
        <w:rPr>
          <w:rFonts w:ascii="Times New Roman" w:eastAsia="仿宋_GB2312" w:hAnsi="Times New Roman" w:cs="Times New Roman" w:hint="eastAsia"/>
          <w:color w:val="000000" w:themeColor="text1"/>
          <w:sz w:val="28"/>
          <w:szCs w:val="28"/>
        </w:rPr>
        <w:t>的，</w:t>
      </w:r>
      <w:r>
        <w:rPr>
          <w:rFonts w:ascii="Times New Roman" w:eastAsia="仿宋_GB2312" w:hAnsi="Times New Roman" w:cs="Times New Roman" w:hint="eastAsia"/>
          <w:color w:val="000000" w:themeColor="text1"/>
          <w:sz w:val="28"/>
          <w:szCs w:val="28"/>
        </w:rPr>
        <w:t>不予受理申报或不予资助。</w:t>
      </w:r>
    </w:p>
    <w:p w:rsidR="009219EE" w:rsidRDefault="00337C97">
      <w:pPr>
        <w:spacing w:line="540" w:lineRule="exact"/>
        <w:ind w:firstLineChars="200" w:firstLine="560"/>
        <w:rPr>
          <w:rFonts w:ascii="Times New Roman" w:eastAsia="仿宋_GB2312" w:hAnsi="Times New Roman" w:cs="Times New Roman"/>
          <w:color w:val="FF0000"/>
          <w:sz w:val="28"/>
          <w:szCs w:val="28"/>
        </w:rPr>
      </w:pPr>
      <w:r>
        <w:rPr>
          <w:rFonts w:ascii="Times New Roman" w:eastAsia="仿宋_GB2312" w:hAnsi="Times New Roman" w:cs="Times New Roman" w:hint="eastAsia"/>
          <w:color w:val="000000" w:themeColor="text1"/>
          <w:sz w:val="28"/>
          <w:szCs w:val="28"/>
        </w:rPr>
        <w:t>根据广东省教育厅“关于开展广东省研究生教育创新计划项目申报认定工作”的文件通知要求，申报认定工作按照学校组织评选推荐、省教育厅组织审核认定的程序进行。研究生院发动培养单位或个人参加申报，形式审核申报材料，组织专家依据各类子项目的建设要求与申报限额对项目进行评审。推荐项目经校内公示后上报省教育厅。省教育厅对</w:t>
      </w:r>
      <w:r>
        <w:rPr>
          <w:rFonts w:ascii="Times New Roman" w:eastAsia="仿宋_GB2312" w:hAnsi="Times New Roman" w:cs="Times New Roman" w:hint="eastAsia"/>
          <w:color w:val="000000" w:themeColor="text1"/>
          <w:sz w:val="28"/>
          <w:szCs w:val="28"/>
        </w:rPr>
        <w:lastRenderedPageBreak/>
        <w:t>推荐的项目进行形式审查、发文公布立项名单。</w:t>
      </w:r>
    </w:p>
    <w:p w:rsidR="009219EE" w:rsidRDefault="00337C97">
      <w:pPr>
        <w:pStyle w:val="af"/>
        <w:adjustRightInd w:val="0"/>
        <w:snapToGrid w:val="0"/>
        <w:spacing w:line="540" w:lineRule="exact"/>
        <w:ind w:firstLine="560"/>
        <w:outlineLvl w:val="0"/>
        <w:rPr>
          <w:rFonts w:ascii="黑体" w:eastAsia="黑体" w:hAnsi="黑体"/>
          <w:sz w:val="28"/>
          <w:szCs w:val="28"/>
        </w:rPr>
      </w:pPr>
      <w:r>
        <w:rPr>
          <w:rFonts w:ascii="黑体" w:eastAsia="黑体" w:hAnsi="黑体" w:hint="eastAsia"/>
          <w:sz w:val="28"/>
          <w:szCs w:val="28"/>
        </w:rPr>
        <w:t>四</w:t>
      </w:r>
      <w:r>
        <w:rPr>
          <w:rFonts w:ascii="黑体" w:eastAsia="黑体" w:hAnsi="黑体"/>
          <w:sz w:val="28"/>
          <w:szCs w:val="28"/>
        </w:rPr>
        <w:t>、</w:t>
      </w:r>
      <w:r>
        <w:rPr>
          <w:rFonts w:ascii="黑体" w:eastAsia="黑体" w:hAnsi="黑体" w:hint="eastAsia"/>
          <w:sz w:val="28"/>
          <w:szCs w:val="28"/>
        </w:rPr>
        <w:t>绩效目标参考</w:t>
      </w:r>
    </w:p>
    <w:tbl>
      <w:tblPr>
        <w:tblW w:w="10157" w:type="dxa"/>
        <w:tblInd w:w="-318" w:type="dxa"/>
        <w:tblLayout w:type="fixed"/>
        <w:tblLook w:val="04A0" w:firstRow="1" w:lastRow="0" w:firstColumn="1" w:lastColumn="0" w:noHBand="0" w:noVBand="1"/>
      </w:tblPr>
      <w:tblGrid>
        <w:gridCol w:w="1310"/>
        <w:gridCol w:w="1384"/>
        <w:gridCol w:w="2567"/>
        <w:gridCol w:w="4896"/>
      </w:tblGrid>
      <w:tr w:rsidR="009219EE">
        <w:trPr>
          <w:trHeight w:val="448"/>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219EE" w:rsidRDefault="00337C97">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一级指标</w:t>
            </w:r>
          </w:p>
        </w:tc>
        <w:tc>
          <w:tcPr>
            <w:tcW w:w="1384" w:type="dxa"/>
            <w:tcBorders>
              <w:top w:val="single" w:sz="4" w:space="0" w:color="auto"/>
              <w:left w:val="nil"/>
              <w:bottom w:val="single" w:sz="4" w:space="0" w:color="auto"/>
              <w:right w:val="single" w:sz="4" w:space="0" w:color="auto"/>
            </w:tcBorders>
            <w:shd w:val="clear" w:color="auto" w:fill="auto"/>
            <w:vAlign w:val="center"/>
          </w:tcPr>
          <w:p w:rsidR="009219EE" w:rsidRDefault="00337C97">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二级指标</w:t>
            </w:r>
          </w:p>
        </w:tc>
        <w:tc>
          <w:tcPr>
            <w:tcW w:w="2567" w:type="dxa"/>
            <w:tcBorders>
              <w:top w:val="single" w:sz="4" w:space="0" w:color="auto"/>
              <w:left w:val="nil"/>
              <w:bottom w:val="single" w:sz="4" w:space="0" w:color="auto"/>
              <w:right w:val="single" w:sz="4" w:space="0" w:color="auto"/>
            </w:tcBorders>
            <w:shd w:val="clear" w:color="auto" w:fill="auto"/>
            <w:vAlign w:val="center"/>
          </w:tcPr>
          <w:p w:rsidR="009219EE" w:rsidRDefault="00337C97">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三级指标</w:t>
            </w:r>
          </w:p>
        </w:tc>
        <w:tc>
          <w:tcPr>
            <w:tcW w:w="4896" w:type="dxa"/>
            <w:tcBorders>
              <w:top w:val="single" w:sz="4" w:space="0" w:color="auto"/>
              <w:left w:val="nil"/>
              <w:bottom w:val="single" w:sz="4" w:space="0" w:color="auto"/>
              <w:right w:val="single" w:sz="4" w:space="0" w:color="auto"/>
            </w:tcBorders>
            <w:shd w:val="clear" w:color="auto" w:fill="auto"/>
            <w:vAlign w:val="center"/>
          </w:tcPr>
          <w:p w:rsidR="009219EE" w:rsidRDefault="00337C97">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指标描述</w:t>
            </w:r>
          </w:p>
        </w:tc>
      </w:tr>
      <w:tr w:rsidR="009219EE">
        <w:trPr>
          <w:trHeight w:val="448"/>
        </w:trPr>
        <w:tc>
          <w:tcPr>
            <w:tcW w:w="1310" w:type="dxa"/>
            <w:vMerge w:val="restart"/>
            <w:tcBorders>
              <w:top w:val="nil"/>
              <w:left w:val="single" w:sz="4" w:space="0" w:color="auto"/>
              <w:bottom w:val="single" w:sz="4" w:space="0" w:color="auto"/>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产出指标</w:t>
            </w:r>
          </w:p>
        </w:tc>
        <w:tc>
          <w:tcPr>
            <w:tcW w:w="1384" w:type="dxa"/>
            <w:vMerge w:val="restart"/>
            <w:tcBorders>
              <w:top w:val="nil"/>
              <w:left w:val="single" w:sz="4" w:space="0" w:color="auto"/>
              <w:bottom w:val="single" w:sz="4" w:space="0" w:color="auto"/>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数量指标</w:t>
            </w: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参加活动人数</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反映研究生学术论坛、研究生暑期学校的参加人数以及其中校外师生的人数情况</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1384"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召开学术会议场次</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反映通过研究生学术论坛等项目，组织开展学术交流，主办高水平国际学术会议、高水平国内学术会议的场次数量情况</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1384"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暑期项目开设课程及讲座数量</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反映通过暑期学校等项目，组织开设的优秀课程、前沿讲座的数量情况</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1384"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建设优秀示范课程或开放共享课程数量</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反映通过研究生示范课程建设等项目，建设优秀示范课程或开放共享课程数量情况</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1384"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联合培养示范基地培养学生数量</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反映通过广东省联合培养研究生示范基地联合培养研究生数量情况</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1384"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质量指标</w:t>
            </w: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项目达标率</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评价开展实施各类研究生教育创新项目的达标情况</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1384" w:type="dxa"/>
            <w:vMerge w:val="restart"/>
            <w:tcBorders>
              <w:top w:val="nil"/>
              <w:left w:val="single" w:sz="4" w:space="0" w:color="auto"/>
              <w:bottom w:val="single" w:sz="4" w:space="0" w:color="000000"/>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时效指标</w:t>
            </w: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项目按期完成率</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按期完成的研究生教育创新项目占项目总量的比率</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1384" w:type="dxa"/>
            <w:vMerge/>
            <w:tcBorders>
              <w:top w:val="nil"/>
              <w:left w:val="single" w:sz="4" w:space="0" w:color="auto"/>
              <w:bottom w:val="single" w:sz="4" w:space="0" w:color="000000"/>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项目启动月份、开展月份、完成月份等时间要求</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反映项目进度控制情况</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1384"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成本指标</w:t>
            </w: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资金使用合规性</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项目资金使用是否符合相关的财务管理制度规定，用以反映和考核项目资金的规范运行情况。</w:t>
            </w:r>
          </w:p>
        </w:tc>
      </w:tr>
      <w:tr w:rsidR="009219EE">
        <w:trPr>
          <w:trHeight w:val="448"/>
        </w:trPr>
        <w:tc>
          <w:tcPr>
            <w:tcW w:w="1310" w:type="dxa"/>
            <w:vMerge w:val="restart"/>
            <w:tcBorders>
              <w:top w:val="nil"/>
              <w:left w:val="single" w:sz="4" w:space="0" w:color="auto"/>
              <w:bottom w:val="single" w:sz="4" w:space="0" w:color="auto"/>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效益指标</w:t>
            </w:r>
          </w:p>
        </w:tc>
        <w:tc>
          <w:tcPr>
            <w:tcW w:w="1384"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经济效益指标</w:t>
            </w: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预算成本控制</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反映项目预算（成本）控制的合理性，即反映各类研究生教育创新项目的预算执行结果是节约还是超支等情况及原因</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widowControl/>
              <w:jc w:val="left"/>
              <w:rPr>
                <w:rFonts w:ascii="仿宋_GB2312" w:eastAsia="仿宋_GB2312" w:hAnsi="等线" w:cs="宋体"/>
                <w:kern w:val="0"/>
                <w:sz w:val="24"/>
                <w:szCs w:val="24"/>
              </w:rPr>
            </w:pPr>
          </w:p>
        </w:tc>
        <w:tc>
          <w:tcPr>
            <w:tcW w:w="1384" w:type="dxa"/>
            <w:vMerge w:val="restart"/>
            <w:tcBorders>
              <w:top w:val="nil"/>
              <w:left w:val="single" w:sz="4" w:space="0" w:color="auto"/>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社会效益指标</w:t>
            </w: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教育创新研究成果数量</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反映通过研究生教育创新项目获得的教育创新研究成果数量情况，如研究生教育管理论文、研究报告、政策制度文件，以及研究生教育成果奖等方面</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widowControl/>
              <w:jc w:val="left"/>
              <w:rPr>
                <w:rFonts w:ascii="仿宋_GB2312" w:eastAsia="仿宋_GB2312" w:hAnsi="等线" w:cs="宋体"/>
                <w:kern w:val="0"/>
                <w:sz w:val="24"/>
                <w:szCs w:val="24"/>
              </w:rPr>
            </w:pPr>
          </w:p>
        </w:tc>
        <w:tc>
          <w:tcPr>
            <w:tcW w:w="1384" w:type="dxa"/>
            <w:vMerge/>
            <w:tcBorders>
              <w:left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教育创新研究成果转化效益</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反映通过研究生教育创新项目的实施，推动教育创新研究的成果转化情况</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widowControl/>
              <w:jc w:val="left"/>
              <w:rPr>
                <w:rFonts w:ascii="仿宋_GB2312" w:eastAsia="仿宋_GB2312" w:hAnsi="等线" w:cs="宋体"/>
                <w:kern w:val="0"/>
                <w:sz w:val="24"/>
                <w:szCs w:val="24"/>
              </w:rPr>
            </w:pPr>
          </w:p>
        </w:tc>
        <w:tc>
          <w:tcPr>
            <w:tcW w:w="1384" w:type="dxa"/>
            <w:vMerge/>
            <w:tcBorders>
              <w:left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对提升研究生教育创新的影响力</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cs="宋体" w:hint="eastAsia"/>
                <w:szCs w:val="21"/>
              </w:rPr>
              <w:t>评价通过研究生教育创新项目的实施，对加强研究生创新能力培养、提高研究生培养质量的影响力，如通过项目资助培养的研究生的发表论文及科研获奖情况</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widowControl/>
              <w:jc w:val="left"/>
              <w:rPr>
                <w:rFonts w:ascii="仿宋_GB2312" w:eastAsia="仿宋_GB2312" w:hAnsi="等线" w:cs="宋体"/>
                <w:kern w:val="0"/>
                <w:sz w:val="24"/>
                <w:szCs w:val="24"/>
              </w:rPr>
            </w:pPr>
          </w:p>
        </w:tc>
        <w:tc>
          <w:tcPr>
            <w:tcW w:w="1384" w:type="dxa"/>
            <w:vMerge/>
            <w:tcBorders>
              <w:left w:val="single" w:sz="4" w:space="0" w:color="auto"/>
              <w:bottom w:val="single" w:sz="4" w:space="0" w:color="auto"/>
              <w:right w:val="single" w:sz="4" w:space="0" w:color="auto"/>
            </w:tcBorders>
            <w:shd w:val="clear" w:color="auto" w:fill="auto"/>
            <w:vAlign w:val="center"/>
          </w:tcPr>
          <w:p w:rsidR="009219EE" w:rsidRDefault="009219EE">
            <w:pPr>
              <w:rPr>
                <w:rFonts w:ascii="仿宋_GB2312" w:eastAsia="仿宋_GB2312" w:hAnsi="Times New Roman" w:cs="Times New Roman"/>
                <w:bCs/>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cs="宋体" w:hint="eastAsia"/>
                <w:szCs w:val="21"/>
              </w:rPr>
              <w:t>对促进学术交流和提升学术能力的影响力</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cs="宋体" w:hint="eastAsia"/>
                <w:szCs w:val="21"/>
              </w:rPr>
              <w:t>评价通过暑假教育教学活动，对促进研究生学术交流、拓展研究生学术视野、启发研究生创新思维和思路、提升学术能力的影响力</w:t>
            </w:r>
          </w:p>
        </w:tc>
      </w:tr>
      <w:tr w:rsidR="009219EE">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rsidR="009219EE" w:rsidRDefault="009219EE">
            <w:pPr>
              <w:widowControl/>
              <w:jc w:val="left"/>
              <w:rPr>
                <w:rFonts w:ascii="仿宋_GB2312" w:eastAsia="仿宋_GB2312" w:hAnsi="等线" w:cs="宋体"/>
                <w:kern w:val="0"/>
                <w:sz w:val="24"/>
                <w:szCs w:val="24"/>
              </w:rPr>
            </w:pPr>
          </w:p>
        </w:tc>
        <w:tc>
          <w:tcPr>
            <w:tcW w:w="1384"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可持续影响指标</w:t>
            </w: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可持续影响性</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反映研究生教育创新计划的实施对未来几年学校在省内、国内乃至海外产生的影响力，提高学校知名</w:t>
            </w:r>
            <w:r>
              <w:rPr>
                <w:rFonts w:ascii="仿宋_GB2312" w:eastAsia="仿宋_GB2312" w:hAnsi="等线" w:hint="eastAsia"/>
                <w:szCs w:val="21"/>
              </w:rPr>
              <w:lastRenderedPageBreak/>
              <w:t>度等方面的可持续影响</w:t>
            </w:r>
          </w:p>
        </w:tc>
      </w:tr>
      <w:tr w:rsidR="009219EE">
        <w:trPr>
          <w:trHeight w:val="448"/>
        </w:trPr>
        <w:tc>
          <w:tcPr>
            <w:tcW w:w="1310" w:type="dxa"/>
            <w:tcBorders>
              <w:top w:val="nil"/>
              <w:left w:val="single" w:sz="4" w:space="0" w:color="auto"/>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kern w:val="0"/>
                <w:sz w:val="24"/>
                <w:szCs w:val="24"/>
              </w:rPr>
            </w:pPr>
            <w:r>
              <w:rPr>
                <w:rFonts w:ascii="仿宋_GB2312" w:eastAsia="仿宋_GB2312" w:hAnsi="Times New Roman" w:cs="Times New Roman" w:hint="eastAsia"/>
                <w:bCs/>
                <w:kern w:val="24"/>
                <w:sz w:val="24"/>
                <w:szCs w:val="24"/>
              </w:rPr>
              <w:lastRenderedPageBreak/>
              <w:t>满意度指标</w:t>
            </w:r>
          </w:p>
        </w:tc>
        <w:tc>
          <w:tcPr>
            <w:tcW w:w="1384"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Times New Roman" w:cs="Times New Roman"/>
                <w:bCs/>
                <w:kern w:val="24"/>
                <w:sz w:val="24"/>
                <w:szCs w:val="24"/>
              </w:rPr>
            </w:pPr>
            <w:r>
              <w:rPr>
                <w:rFonts w:ascii="仿宋_GB2312" w:eastAsia="仿宋_GB2312" w:hAnsi="Times New Roman" w:cs="Times New Roman" w:hint="eastAsia"/>
                <w:bCs/>
                <w:kern w:val="24"/>
                <w:sz w:val="24"/>
                <w:szCs w:val="24"/>
              </w:rPr>
              <w:t>满意度指标</w:t>
            </w:r>
          </w:p>
        </w:tc>
        <w:tc>
          <w:tcPr>
            <w:tcW w:w="2567"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满意度</w:t>
            </w:r>
          </w:p>
        </w:tc>
        <w:tc>
          <w:tcPr>
            <w:tcW w:w="4896" w:type="dxa"/>
            <w:tcBorders>
              <w:top w:val="nil"/>
              <w:left w:val="nil"/>
              <w:bottom w:val="single" w:sz="4" w:space="0" w:color="auto"/>
              <w:right w:val="single" w:sz="4" w:space="0" w:color="auto"/>
            </w:tcBorders>
            <w:shd w:val="clear" w:color="auto" w:fill="auto"/>
            <w:vAlign w:val="center"/>
          </w:tcPr>
          <w:p w:rsidR="009219EE" w:rsidRDefault="00337C97">
            <w:pPr>
              <w:rPr>
                <w:rFonts w:ascii="仿宋_GB2312" w:eastAsia="仿宋_GB2312" w:hAnsi="等线" w:cs="宋体"/>
                <w:szCs w:val="21"/>
              </w:rPr>
            </w:pPr>
            <w:r>
              <w:rPr>
                <w:rFonts w:ascii="仿宋_GB2312" w:eastAsia="仿宋_GB2312" w:hAnsi="等线" w:hint="eastAsia"/>
                <w:szCs w:val="21"/>
              </w:rPr>
              <w:t>反映对研究生教育创新的满意度</w:t>
            </w:r>
          </w:p>
        </w:tc>
      </w:tr>
    </w:tbl>
    <w:p w:rsidR="009219EE" w:rsidRDefault="00337C97">
      <w:pPr>
        <w:pStyle w:val="ab"/>
        <w:snapToGrid w:val="0"/>
        <w:spacing w:before="0" w:beforeAutospacing="0" w:after="0" w:afterAutospacing="0" w:line="540" w:lineRule="exact"/>
        <w:ind w:firstLineChars="200" w:firstLine="562"/>
        <w:jc w:val="both"/>
        <w:rPr>
          <w:rFonts w:ascii="黑体" w:eastAsia="黑体" w:hAnsi="黑体"/>
          <w:b/>
          <w:color w:val="auto"/>
          <w:sz w:val="28"/>
          <w:szCs w:val="28"/>
        </w:rPr>
      </w:pPr>
      <w:r>
        <w:rPr>
          <w:rFonts w:ascii="黑体" w:eastAsia="黑体" w:hAnsi="黑体" w:hint="eastAsia"/>
          <w:b/>
          <w:color w:val="auto"/>
          <w:sz w:val="28"/>
          <w:szCs w:val="28"/>
        </w:rPr>
        <w:t>五、考核办法</w:t>
      </w:r>
    </w:p>
    <w:p w:rsidR="009219EE" w:rsidRDefault="00337C97">
      <w:pPr>
        <w:adjustRightInd w:val="0"/>
        <w:snapToGrid w:val="0"/>
        <w:spacing w:line="540" w:lineRule="exact"/>
        <w:ind w:firstLineChars="200" w:firstLine="560"/>
        <w:outlineLvl w:val="1"/>
        <w:rPr>
          <w:rFonts w:ascii="仿宋_GB2312" w:eastAsia="仿宋_GB2312" w:hAnsi="黑体" w:cs="Times New Roman"/>
          <w:sz w:val="28"/>
          <w:szCs w:val="28"/>
        </w:rPr>
      </w:pPr>
      <w:r>
        <w:rPr>
          <w:rFonts w:ascii="仿宋_GB2312" w:eastAsia="仿宋_GB2312" w:hAnsi="黑体" w:cs="Times New Roman" w:hint="eastAsia"/>
          <w:sz w:val="28"/>
          <w:szCs w:val="28"/>
        </w:rPr>
        <w:t>（一）考核内容</w:t>
      </w:r>
    </w:p>
    <w:p w:rsidR="009219EE" w:rsidRDefault="00337C97">
      <w:pPr>
        <w:spacing w:line="540" w:lineRule="exact"/>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1. 项目预算执行情况考核：根据《中山大学预算管理办法》的规定，对项目的预算执行进度进行考核。对于执行进度缓慢的，将责成项目负责人提交经费使用情况的书面说明，否则学校将统筹</w:t>
      </w:r>
      <w:r w:rsidR="003A3C6A">
        <w:rPr>
          <w:rFonts w:ascii="仿宋_GB2312" w:eastAsia="仿宋_GB2312" w:hAnsi="Times New Roman" w:cs="Times New Roman" w:hint="eastAsia"/>
          <w:sz w:val="28"/>
          <w:szCs w:val="28"/>
        </w:rPr>
        <w:t>安排</w:t>
      </w:r>
      <w:r>
        <w:rPr>
          <w:rFonts w:ascii="仿宋_GB2312" w:eastAsia="仿宋_GB2312" w:hAnsi="Times New Roman" w:cs="Times New Roman" w:hint="eastAsia"/>
          <w:sz w:val="28"/>
          <w:szCs w:val="28"/>
        </w:rPr>
        <w:t>项目剩余经费的使用。结项考核中发现由于预算不合理或执行进度问题等原因导致经费执行率低、年终大量结余经费被收回的，结项考核不合格。</w:t>
      </w:r>
    </w:p>
    <w:p w:rsidR="009219EE" w:rsidRDefault="00337C97">
      <w:pPr>
        <w:spacing w:line="540" w:lineRule="exact"/>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2. 项目绩效目标考核：比对项目预期绩效目标进行考核（具体参考“四、绩效目标”）。</w:t>
      </w:r>
    </w:p>
    <w:p w:rsidR="009219EE" w:rsidRDefault="00337C97">
      <w:pPr>
        <w:adjustRightInd w:val="0"/>
        <w:snapToGrid w:val="0"/>
        <w:spacing w:line="540" w:lineRule="exact"/>
        <w:ind w:firstLineChars="200" w:firstLine="560"/>
        <w:outlineLvl w:val="1"/>
        <w:rPr>
          <w:rFonts w:ascii="仿宋_GB2312" w:eastAsia="仿宋_GB2312" w:hAnsi="黑体" w:cs="Times New Roman"/>
          <w:sz w:val="28"/>
          <w:szCs w:val="28"/>
        </w:rPr>
      </w:pPr>
      <w:r>
        <w:rPr>
          <w:rFonts w:ascii="仿宋_GB2312" w:eastAsia="仿宋_GB2312" w:hAnsi="黑体" w:cs="Times New Roman" w:hint="eastAsia"/>
          <w:sz w:val="28"/>
          <w:szCs w:val="28"/>
        </w:rPr>
        <w:t>（二）考核程序</w:t>
      </w:r>
    </w:p>
    <w:p w:rsidR="009219EE" w:rsidRDefault="00337C97">
      <w:pPr>
        <w:spacing w:line="540" w:lineRule="exact"/>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1. 项目负责人根据结项通知要求，参照绩效目标进行自评，报送结项报告并附项目成果材料至研究生院。</w:t>
      </w:r>
    </w:p>
    <w:p w:rsidR="009219EE" w:rsidRDefault="00337C97">
      <w:pPr>
        <w:spacing w:line="540" w:lineRule="exact"/>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2. 研究生院按照教育创新计划各类项目管理办法的要求进行审核，并组织专家召开项目验收会议。必要时要求项目负责人进行现场答辩。</w:t>
      </w:r>
    </w:p>
    <w:p w:rsidR="009219EE" w:rsidRDefault="00337C97">
      <w:pPr>
        <w:adjustRightInd w:val="0"/>
        <w:snapToGrid w:val="0"/>
        <w:spacing w:line="540" w:lineRule="exact"/>
        <w:ind w:firstLineChars="200" w:firstLine="560"/>
        <w:outlineLvl w:val="1"/>
        <w:rPr>
          <w:rFonts w:ascii="仿宋_GB2312" w:eastAsia="仿宋_GB2312" w:hAnsi="黑体" w:cs="Times New Roman"/>
          <w:sz w:val="28"/>
          <w:szCs w:val="28"/>
        </w:rPr>
      </w:pPr>
      <w:r>
        <w:rPr>
          <w:rFonts w:ascii="仿宋_GB2312" w:eastAsia="仿宋_GB2312" w:hAnsi="黑体" w:cs="Times New Roman" w:hint="eastAsia"/>
          <w:sz w:val="28"/>
          <w:szCs w:val="28"/>
        </w:rPr>
        <w:t>（三）考核结果应用</w:t>
      </w:r>
    </w:p>
    <w:p w:rsidR="009219EE" w:rsidRDefault="00876CF3">
      <w:pPr>
        <w:spacing w:line="540" w:lineRule="exact"/>
        <w:ind w:firstLineChars="200" w:firstLine="560"/>
        <w:rPr>
          <w:rFonts w:ascii="仿宋_GB2312" w:eastAsia="仿宋_GB2312" w:hAnsi="Times New Roman" w:cs="Times New Roman"/>
          <w:sz w:val="28"/>
          <w:szCs w:val="28"/>
        </w:rPr>
      </w:pPr>
      <w:r w:rsidRPr="00876CF3">
        <w:rPr>
          <w:rFonts w:ascii="仿宋_GB2312" w:eastAsia="仿宋_GB2312" w:hAnsi="Times New Roman" w:cs="Times New Roman" w:hint="eastAsia"/>
          <w:sz w:val="28"/>
          <w:szCs w:val="28"/>
        </w:rPr>
        <w:t>项目结题结果作为后续项目立项审批及资金分配、统筹的重要依据。对项目实施成效显著、经费执行情况良好的项目负责人和单位，适当加大支持力度；对项目实施效果差、经费执行缓慢、经费执行完成率不高、经费使用不规范的项目负责人和单位，相应采取核减或暂停安排经费的措施</w:t>
      </w:r>
      <w:r w:rsidR="00324BF6">
        <w:rPr>
          <w:rFonts w:ascii="仿宋_GB2312" w:eastAsia="仿宋_GB2312" w:hAnsi="Times New Roman" w:cs="Times New Roman" w:hint="eastAsia"/>
          <w:sz w:val="28"/>
          <w:szCs w:val="28"/>
        </w:rPr>
        <w:t>，</w:t>
      </w:r>
      <w:r w:rsidR="00337C97">
        <w:rPr>
          <w:rFonts w:ascii="仿宋_GB2312" w:eastAsia="仿宋_GB2312" w:hAnsi="Times New Roman" w:cs="Times New Roman" w:hint="eastAsia"/>
          <w:sz w:val="28"/>
          <w:szCs w:val="28"/>
        </w:rPr>
        <w:t>并取消项目负责人</w:t>
      </w:r>
      <w:r w:rsidR="00324BF6">
        <w:rPr>
          <w:rFonts w:ascii="仿宋_GB2312" w:eastAsia="仿宋_GB2312" w:hAnsi="Times New Roman" w:cs="Times New Roman" w:hint="eastAsia"/>
          <w:sz w:val="28"/>
          <w:szCs w:val="28"/>
        </w:rPr>
        <w:t>一定时间</w:t>
      </w:r>
      <w:r w:rsidR="00337C97">
        <w:rPr>
          <w:rFonts w:ascii="仿宋_GB2312" w:eastAsia="仿宋_GB2312" w:hAnsi="Times New Roman" w:cs="Times New Roman" w:hint="eastAsia"/>
          <w:sz w:val="28"/>
          <w:szCs w:val="28"/>
        </w:rPr>
        <w:t>内申报该类项目的资格。</w:t>
      </w:r>
    </w:p>
    <w:p w:rsidR="009219EE" w:rsidRDefault="00337C97" w:rsidP="00324BF6">
      <w:pPr>
        <w:pStyle w:val="ab"/>
        <w:snapToGrid w:val="0"/>
        <w:spacing w:before="0" w:beforeAutospacing="0" w:after="0" w:afterAutospacing="0" w:line="540" w:lineRule="exact"/>
        <w:ind w:firstLineChars="200" w:firstLine="562"/>
        <w:jc w:val="both"/>
        <w:rPr>
          <w:rFonts w:ascii="仿宋_GB2312" w:eastAsia="仿宋_GB2312" w:hAnsi="黑体"/>
          <w:sz w:val="28"/>
          <w:szCs w:val="28"/>
        </w:rPr>
      </w:pPr>
      <w:r w:rsidRPr="00324BF6">
        <w:rPr>
          <w:rFonts w:ascii="黑体" w:eastAsia="黑体" w:hAnsi="黑体" w:hint="eastAsia"/>
          <w:b/>
          <w:color w:val="auto"/>
          <w:sz w:val="28"/>
          <w:szCs w:val="28"/>
        </w:rPr>
        <w:t>六、问责条款</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lastRenderedPageBreak/>
        <w:t xml:space="preserve">项目建设过程中不得出现下列情形：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 xml:space="preserve">（一）申报与建设内容在政治方向、价值取向和学术导向上存在偏差的；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 xml:space="preserve">（二）申报、建设过程和项目成果弄虚作假、违背学术道德的；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 xml:space="preserve">（三）项目执行不力，未开展实质性建设工作的；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（四）经费执行管理不力，导致效益低下、资金浪费的；</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 xml:space="preserve">（五）违反规定开支、分配、截留、挤占、挪用专项资金等违反财务制度的；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 xml:space="preserve">（六）有其他违反项目规定与管理办法行为的。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项目单位、项目负责人和相关人员</w:t>
      </w:r>
      <w:r>
        <w:rPr>
          <w:rFonts w:ascii="仿宋_GB2312" w:eastAsia="仿宋_GB2312" w:hAnsi="Times New Roman" w:cs="Times New Roman" w:hint="eastAsia"/>
          <w:sz w:val="28"/>
          <w:szCs w:val="28"/>
        </w:rPr>
        <w:t>若有上述</w:t>
      </w:r>
      <w:r w:rsidRPr="00324BF6">
        <w:rPr>
          <w:rFonts w:ascii="仿宋_GB2312" w:eastAsia="仿宋_GB2312" w:hAnsi="Times New Roman" w:cs="Times New Roman" w:hint="eastAsia"/>
          <w:sz w:val="28"/>
          <w:szCs w:val="28"/>
        </w:rPr>
        <w:t>行为的，研究生院可按照其违规行为的性质、情节及所造成后果的严重程度，采取以下措施：</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 xml:space="preserve">（一）限期整改；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（二）批评教育；</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 xml:space="preserve">（三）在一定范围内通报批评；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 xml:space="preserve">（四）取消年度评优评先资格；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 xml:space="preserve">（五）调减年度奖励性绩效；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（六）在1-3年内限制申报和参与项目。</w:t>
      </w:r>
    </w:p>
    <w:p w:rsidR="00324BF6" w:rsidRDefault="00324BF6" w:rsidP="00324BF6">
      <w:pPr>
        <w:spacing w:line="540" w:lineRule="exact"/>
        <w:ind w:firstLineChars="200" w:firstLine="560"/>
        <w:rPr>
          <w:rFonts w:ascii="仿宋_GB2312" w:eastAsia="仿宋_GB2312" w:hAnsi="Times New Roman" w:cs="Times New Roman"/>
          <w:sz w:val="28"/>
          <w:szCs w:val="28"/>
        </w:rPr>
      </w:pPr>
      <w:r w:rsidRPr="00324BF6">
        <w:rPr>
          <w:rFonts w:ascii="仿宋_GB2312" w:eastAsia="仿宋_GB2312" w:hAnsi="Times New Roman" w:cs="Times New Roman" w:hint="eastAsia"/>
          <w:sz w:val="28"/>
          <w:szCs w:val="28"/>
        </w:rPr>
        <w:t xml:space="preserve">（七）依法责令退还专项资金或承担相应的经济损失责任； </w:t>
      </w:r>
    </w:p>
    <w:p w:rsidR="00324BF6" w:rsidRPr="00324BF6" w:rsidRDefault="00324BF6" w:rsidP="00324BF6">
      <w:pPr>
        <w:spacing w:line="540" w:lineRule="exact"/>
        <w:ind w:firstLineChars="200" w:firstLine="560"/>
        <w:rPr>
          <w:rFonts w:ascii="仿宋_GB2312" w:eastAsia="仿宋_GB2312" w:hAnsi="Times New Roman" w:cs="Times New Roman" w:hint="eastAsia"/>
          <w:sz w:val="28"/>
          <w:szCs w:val="28"/>
        </w:rPr>
      </w:pPr>
      <w:r w:rsidRPr="00324BF6">
        <w:rPr>
          <w:rFonts w:ascii="仿宋_GB2312" w:eastAsia="仿宋_GB2312" w:hAnsi="Times New Roman" w:cs="Times New Roman" w:hint="eastAsia"/>
          <w:sz w:val="28"/>
          <w:szCs w:val="28"/>
        </w:rPr>
        <w:t>（八）法律、法规、规章和学校规定的其他处理措施。</w:t>
      </w:r>
    </w:p>
    <w:p w:rsidR="00324BF6" w:rsidRDefault="00324BF6" w:rsidP="00324BF6">
      <w:pPr>
        <w:spacing w:line="540" w:lineRule="exact"/>
        <w:ind w:firstLineChars="200" w:firstLine="560"/>
        <w:rPr>
          <w:rFonts w:ascii="仿宋_GB2312" w:eastAsia="仿宋_GB2312" w:hAnsi="Times New Roman"/>
          <w:sz w:val="28"/>
          <w:szCs w:val="28"/>
        </w:rPr>
      </w:pPr>
      <w:r w:rsidRPr="00324BF6">
        <w:rPr>
          <w:rFonts w:ascii="仿宋_GB2312" w:eastAsia="仿宋_GB2312" w:hAnsi="Times New Roman" w:cs="Times New Roman" w:hint="eastAsia"/>
          <w:sz w:val="28"/>
          <w:szCs w:val="28"/>
        </w:rPr>
        <w:t xml:space="preserve"> 以上措施可以单独适用或者合并适用。构成违</w:t>
      </w:r>
      <w:r w:rsidRPr="00324BF6">
        <w:rPr>
          <w:rFonts w:ascii="仿宋_GB2312" w:eastAsia="仿宋_GB2312" w:hAnsi="Times New Roman" w:hint="eastAsia"/>
          <w:sz w:val="28"/>
          <w:szCs w:val="28"/>
        </w:rPr>
        <w:t>纪的，由学校依照有关党纪法规和学校规定作出处理； 需要追究领导责任的，按照有关党纪法规和学校规定对有关部门、 单位及其领导人员实行问责；涉嫌违法犯罪的，移送国家有关机关处理。</w:t>
      </w:r>
    </w:p>
    <w:p w:rsidR="009219EE" w:rsidRDefault="00337C97" w:rsidP="00324BF6">
      <w:pPr>
        <w:spacing w:line="540" w:lineRule="exact"/>
        <w:ind w:firstLineChars="200" w:firstLine="562"/>
        <w:rPr>
          <w:rFonts w:ascii="黑体" w:eastAsia="黑体" w:hAnsi="黑体"/>
          <w:b/>
          <w:sz w:val="28"/>
          <w:szCs w:val="28"/>
        </w:rPr>
      </w:pPr>
      <w:r>
        <w:rPr>
          <w:rFonts w:ascii="黑体" w:eastAsia="黑体" w:hAnsi="黑体" w:hint="eastAsia"/>
          <w:b/>
          <w:sz w:val="28"/>
          <w:szCs w:val="28"/>
        </w:rPr>
        <w:lastRenderedPageBreak/>
        <w:t>七、其他</w:t>
      </w:r>
    </w:p>
    <w:p w:rsidR="009219EE" w:rsidRDefault="00337C97">
      <w:pPr>
        <w:pStyle w:val="ab"/>
        <w:snapToGrid w:val="0"/>
        <w:spacing w:before="0" w:beforeAutospacing="0" w:after="0" w:afterAutospacing="0" w:line="540" w:lineRule="exact"/>
        <w:ind w:firstLineChars="200" w:firstLine="560"/>
        <w:jc w:val="both"/>
        <w:rPr>
          <w:rFonts w:ascii="Times New Roman" w:eastAsia="仿宋_GB2312" w:hAnsi="Times New Roman" w:cs="Times New Roman"/>
          <w:color w:val="auto"/>
          <w:sz w:val="32"/>
          <w:szCs w:val="30"/>
        </w:rPr>
      </w:pPr>
      <w:r>
        <w:rPr>
          <w:rFonts w:ascii="仿宋_GB2312" w:eastAsia="仿宋_GB2312" w:hAnsi="Times New Roman" w:cs="Times New Roman" w:hint="eastAsia"/>
          <w:color w:val="auto"/>
          <w:sz w:val="28"/>
          <w:szCs w:val="28"/>
        </w:rPr>
        <w:t>其他未尽事宜，以研究生院的预算申报补充通知为准。</w:t>
      </w:r>
    </w:p>
    <w:p w:rsidR="009219EE" w:rsidRDefault="009219EE" w:rsidP="00CD5F42">
      <w:pPr>
        <w:adjustRightInd w:val="0"/>
        <w:snapToGrid w:val="0"/>
        <w:spacing w:line="540" w:lineRule="exact"/>
        <w:outlineLvl w:val="0"/>
        <w:rPr>
          <w:rFonts w:ascii="Times New Roman" w:eastAsia="黑体" w:hAnsi="黑体" w:cs="Times New Roman"/>
          <w:sz w:val="32"/>
          <w:szCs w:val="32"/>
        </w:rPr>
      </w:pPr>
      <w:bookmarkStart w:id="0" w:name="_GoBack"/>
      <w:bookmarkEnd w:id="0"/>
    </w:p>
    <w:sectPr w:rsidR="009219EE" w:rsidSect="009219EE">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2E1" w:rsidRDefault="00AD12E1" w:rsidP="00AD7CA7">
      <w:r>
        <w:separator/>
      </w:r>
    </w:p>
  </w:endnote>
  <w:endnote w:type="continuationSeparator" w:id="0">
    <w:p w:rsidR="00AD12E1" w:rsidRDefault="00AD12E1" w:rsidP="00AD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2E1" w:rsidRDefault="00AD12E1" w:rsidP="00AD7CA7">
      <w:r>
        <w:separator/>
      </w:r>
    </w:p>
  </w:footnote>
  <w:footnote w:type="continuationSeparator" w:id="0">
    <w:p w:rsidR="00AD12E1" w:rsidRDefault="00AD12E1" w:rsidP="00AD7C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6A13"/>
    <w:rsid w:val="00002E64"/>
    <w:rsid w:val="00003F2C"/>
    <w:rsid w:val="000070C9"/>
    <w:rsid w:val="00013638"/>
    <w:rsid w:val="0001505B"/>
    <w:rsid w:val="00023B9A"/>
    <w:rsid w:val="000245B2"/>
    <w:rsid w:val="00033DDA"/>
    <w:rsid w:val="000377A6"/>
    <w:rsid w:val="00041431"/>
    <w:rsid w:val="000422C7"/>
    <w:rsid w:val="00045741"/>
    <w:rsid w:val="00046EB2"/>
    <w:rsid w:val="000512A1"/>
    <w:rsid w:val="00057EF6"/>
    <w:rsid w:val="000624B9"/>
    <w:rsid w:val="000626C6"/>
    <w:rsid w:val="00070CA7"/>
    <w:rsid w:val="000725A8"/>
    <w:rsid w:val="00073C78"/>
    <w:rsid w:val="00076B11"/>
    <w:rsid w:val="00080E0F"/>
    <w:rsid w:val="00081779"/>
    <w:rsid w:val="000817DF"/>
    <w:rsid w:val="00083E5A"/>
    <w:rsid w:val="00090DF4"/>
    <w:rsid w:val="00093CCB"/>
    <w:rsid w:val="00094611"/>
    <w:rsid w:val="000A24FC"/>
    <w:rsid w:val="000A52F4"/>
    <w:rsid w:val="000A6A20"/>
    <w:rsid w:val="000A758F"/>
    <w:rsid w:val="000B5C48"/>
    <w:rsid w:val="000C4A33"/>
    <w:rsid w:val="000D3417"/>
    <w:rsid w:val="000E1B0E"/>
    <w:rsid w:val="000F0DB6"/>
    <w:rsid w:val="000F1882"/>
    <w:rsid w:val="000F6A13"/>
    <w:rsid w:val="0010180F"/>
    <w:rsid w:val="00104E82"/>
    <w:rsid w:val="0011033E"/>
    <w:rsid w:val="001131C5"/>
    <w:rsid w:val="00116C55"/>
    <w:rsid w:val="00116EF2"/>
    <w:rsid w:val="0012607D"/>
    <w:rsid w:val="00127D11"/>
    <w:rsid w:val="0013146F"/>
    <w:rsid w:val="001646B5"/>
    <w:rsid w:val="00172609"/>
    <w:rsid w:val="00172A24"/>
    <w:rsid w:val="00181171"/>
    <w:rsid w:val="00183346"/>
    <w:rsid w:val="00185499"/>
    <w:rsid w:val="00191B94"/>
    <w:rsid w:val="001927B9"/>
    <w:rsid w:val="001A3946"/>
    <w:rsid w:val="001A4224"/>
    <w:rsid w:val="001B48F7"/>
    <w:rsid w:val="001B5AD0"/>
    <w:rsid w:val="001C0A3C"/>
    <w:rsid w:val="001C3C89"/>
    <w:rsid w:val="001C7747"/>
    <w:rsid w:val="001D1E9C"/>
    <w:rsid w:val="001D6C1D"/>
    <w:rsid w:val="001D7C66"/>
    <w:rsid w:val="001E4202"/>
    <w:rsid w:val="001E4E0E"/>
    <w:rsid w:val="001E6F58"/>
    <w:rsid w:val="001F0CB6"/>
    <w:rsid w:val="001F1E09"/>
    <w:rsid w:val="001F5A42"/>
    <w:rsid w:val="00206DBF"/>
    <w:rsid w:val="00211950"/>
    <w:rsid w:val="002121CB"/>
    <w:rsid w:val="00214A1F"/>
    <w:rsid w:val="0021503D"/>
    <w:rsid w:val="00215722"/>
    <w:rsid w:val="002318AA"/>
    <w:rsid w:val="00234855"/>
    <w:rsid w:val="0023605F"/>
    <w:rsid w:val="002438B4"/>
    <w:rsid w:val="00245811"/>
    <w:rsid w:val="00245E9C"/>
    <w:rsid w:val="00246218"/>
    <w:rsid w:val="00252D00"/>
    <w:rsid w:val="00252E2F"/>
    <w:rsid w:val="00253EF0"/>
    <w:rsid w:val="00265411"/>
    <w:rsid w:val="00273F2E"/>
    <w:rsid w:val="00277CDA"/>
    <w:rsid w:val="00282910"/>
    <w:rsid w:val="0029494D"/>
    <w:rsid w:val="002A1653"/>
    <w:rsid w:val="002B104F"/>
    <w:rsid w:val="002B5F38"/>
    <w:rsid w:val="002B76F1"/>
    <w:rsid w:val="002C0C71"/>
    <w:rsid w:val="002D7B4D"/>
    <w:rsid w:val="002E6799"/>
    <w:rsid w:val="002F333E"/>
    <w:rsid w:val="002F73E1"/>
    <w:rsid w:val="002F7F9D"/>
    <w:rsid w:val="003011BB"/>
    <w:rsid w:val="00301E06"/>
    <w:rsid w:val="00302BC7"/>
    <w:rsid w:val="003048F7"/>
    <w:rsid w:val="0030496E"/>
    <w:rsid w:val="003073C7"/>
    <w:rsid w:val="003118AF"/>
    <w:rsid w:val="0031212C"/>
    <w:rsid w:val="00316C3A"/>
    <w:rsid w:val="00323963"/>
    <w:rsid w:val="00324BF6"/>
    <w:rsid w:val="00325490"/>
    <w:rsid w:val="00331604"/>
    <w:rsid w:val="00336941"/>
    <w:rsid w:val="00337C97"/>
    <w:rsid w:val="00353C4E"/>
    <w:rsid w:val="00365749"/>
    <w:rsid w:val="00375C28"/>
    <w:rsid w:val="003839D7"/>
    <w:rsid w:val="00384629"/>
    <w:rsid w:val="003878C2"/>
    <w:rsid w:val="00397B5F"/>
    <w:rsid w:val="003A0B7E"/>
    <w:rsid w:val="003A29DC"/>
    <w:rsid w:val="003A30F8"/>
    <w:rsid w:val="003A31CC"/>
    <w:rsid w:val="003A3C6A"/>
    <w:rsid w:val="003A41A4"/>
    <w:rsid w:val="003A49E0"/>
    <w:rsid w:val="003B26B1"/>
    <w:rsid w:val="003B7A8C"/>
    <w:rsid w:val="003C4DBD"/>
    <w:rsid w:val="003D4EED"/>
    <w:rsid w:val="003D6343"/>
    <w:rsid w:val="003D7388"/>
    <w:rsid w:val="003E265B"/>
    <w:rsid w:val="003E65F5"/>
    <w:rsid w:val="003F1C76"/>
    <w:rsid w:val="003F2021"/>
    <w:rsid w:val="003F2535"/>
    <w:rsid w:val="003F45BE"/>
    <w:rsid w:val="003F591F"/>
    <w:rsid w:val="003F7171"/>
    <w:rsid w:val="00405AAB"/>
    <w:rsid w:val="004141D1"/>
    <w:rsid w:val="0041460A"/>
    <w:rsid w:val="00415071"/>
    <w:rsid w:val="004269D0"/>
    <w:rsid w:val="00430BD4"/>
    <w:rsid w:val="00432E4B"/>
    <w:rsid w:val="00437896"/>
    <w:rsid w:val="00442E6F"/>
    <w:rsid w:val="00445673"/>
    <w:rsid w:val="004519B8"/>
    <w:rsid w:val="0045502E"/>
    <w:rsid w:val="00455B43"/>
    <w:rsid w:val="00457FD0"/>
    <w:rsid w:val="00461A7A"/>
    <w:rsid w:val="004674B4"/>
    <w:rsid w:val="004772E5"/>
    <w:rsid w:val="00482E9D"/>
    <w:rsid w:val="004911BE"/>
    <w:rsid w:val="004969D8"/>
    <w:rsid w:val="00497C71"/>
    <w:rsid w:val="004A2064"/>
    <w:rsid w:val="004A3B9A"/>
    <w:rsid w:val="004A60EE"/>
    <w:rsid w:val="004A66E2"/>
    <w:rsid w:val="004B0C4E"/>
    <w:rsid w:val="004B6BDF"/>
    <w:rsid w:val="004C1A34"/>
    <w:rsid w:val="004C25EE"/>
    <w:rsid w:val="004C57F9"/>
    <w:rsid w:val="004D009D"/>
    <w:rsid w:val="004D1C40"/>
    <w:rsid w:val="004D47C3"/>
    <w:rsid w:val="004D58F9"/>
    <w:rsid w:val="004E29F8"/>
    <w:rsid w:val="004E74E6"/>
    <w:rsid w:val="005046A2"/>
    <w:rsid w:val="005121BA"/>
    <w:rsid w:val="00515797"/>
    <w:rsid w:val="00517FA0"/>
    <w:rsid w:val="00523414"/>
    <w:rsid w:val="005237B7"/>
    <w:rsid w:val="00527930"/>
    <w:rsid w:val="00530939"/>
    <w:rsid w:val="005323B2"/>
    <w:rsid w:val="005340C1"/>
    <w:rsid w:val="00537691"/>
    <w:rsid w:val="00542E8A"/>
    <w:rsid w:val="00544F48"/>
    <w:rsid w:val="00553733"/>
    <w:rsid w:val="0055412F"/>
    <w:rsid w:val="00554140"/>
    <w:rsid w:val="005570C1"/>
    <w:rsid w:val="00561B38"/>
    <w:rsid w:val="005640F2"/>
    <w:rsid w:val="005661E5"/>
    <w:rsid w:val="00584BBF"/>
    <w:rsid w:val="00592EF7"/>
    <w:rsid w:val="005974D5"/>
    <w:rsid w:val="005A5F8B"/>
    <w:rsid w:val="005B0AFD"/>
    <w:rsid w:val="005B568A"/>
    <w:rsid w:val="005B5830"/>
    <w:rsid w:val="005B65ED"/>
    <w:rsid w:val="005C152D"/>
    <w:rsid w:val="005C33EF"/>
    <w:rsid w:val="005C4609"/>
    <w:rsid w:val="005C485A"/>
    <w:rsid w:val="005C4E04"/>
    <w:rsid w:val="005C7970"/>
    <w:rsid w:val="005C7A28"/>
    <w:rsid w:val="005D4410"/>
    <w:rsid w:val="005D7390"/>
    <w:rsid w:val="005E4A12"/>
    <w:rsid w:val="005E72FA"/>
    <w:rsid w:val="005F0EB7"/>
    <w:rsid w:val="005F5244"/>
    <w:rsid w:val="005F5898"/>
    <w:rsid w:val="00600B8B"/>
    <w:rsid w:val="00605D03"/>
    <w:rsid w:val="0060717A"/>
    <w:rsid w:val="00607279"/>
    <w:rsid w:val="006306B9"/>
    <w:rsid w:val="00632FB5"/>
    <w:rsid w:val="00633F0B"/>
    <w:rsid w:val="006411CD"/>
    <w:rsid w:val="00655C76"/>
    <w:rsid w:val="00655C94"/>
    <w:rsid w:val="00660690"/>
    <w:rsid w:val="00670BB6"/>
    <w:rsid w:val="00680C97"/>
    <w:rsid w:val="0068140F"/>
    <w:rsid w:val="00687769"/>
    <w:rsid w:val="006905BD"/>
    <w:rsid w:val="00692473"/>
    <w:rsid w:val="00692D25"/>
    <w:rsid w:val="00692F89"/>
    <w:rsid w:val="006A3AFE"/>
    <w:rsid w:val="006A5DDE"/>
    <w:rsid w:val="006B286B"/>
    <w:rsid w:val="006B5899"/>
    <w:rsid w:val="006C281A"/>
    <w:rsid w:val="006C3AF1"/>
    <w:rsid w:val="006C4042"/>
    <w:rsid w:val="006C705D"/>
    <w:rsid w:val="006D1928"/>
    <w:rsid w:val="006D1FEF"/>
    <w:rsid w:val="006D7C8F"/>
    <w:rsid w:val="006E1796"/>
    <w:rsid w:val="006E219A"/>
    <w:rsid w:val="006E3D0F"/>
    <w:rsid w:val="006E75C4"/>
    <w:rsid w:val="006F172B"/>
    <w:rsid w:val="006F217E"/>
    <w:rsid w:val="006F5878"/>
    <w:rsid w:val="00700C34"/>
    <w:rsid w:val="00705775"/>
    <w:rsid w:val="007065EE"/>
    <w:rsid w:val="007066A6"/>
    <w:rsid w:val="0071163D"/>
    <w:rsid w:val="007133A7"/>
    <w:rsid w:val="00713432"/>
    <w:rsid w:val="007159E1"/>
    <w:rsid w:val="007161C2"/>
    <w:rsid w:val="00722CA0"/>
    <w:rsid w:val="00732135"/>
    <w:rsid w:val="00736BFB"/>
    <w:rsid w:val="00736DAF"/>
    <w:rsid w:val="00737C15"/>
    <w:rsid w:val="00740286"/>
    <w:rsid w:val="00751688"/>
    <w:rsid w:val="00756A7E"/>
    <w:rsid w:val="00757080"/>
    <w:rsid w:val="00757EEB"/>
    <w:rsid w:val="007708F0"/>
    <w:rsid w:val="00781B85"/>
    <w:rsid w:val="007837F2"/>
    <w:rsid w:val="00792CDE"/>
    <w:rsid w:val="007B380B"/>
    <w:rsid w:val="007B751E"/>
    <w:rsid w:val="007C0BC1"/>
    <w:rsid w:val="007D091F"/>
    <w:rsid w:val="007D5200"/>
    <w:rsid w:val="007E0CF9"/>
    <w:rsid w:val="007E30C5"/>
    <w:rsid w:val="007E61A9"/>
    <w:rsid w:val="007F7E2F"/>
    <w:rsid w:val="00802732"/>
    <w:rsid w:val="00804784"/>
    <w:rsid w:val="008119E6"/>
    <w:rsid w:val="008217D5"/>
    <w:rsid w:val="00827379"/>
    <w:rsid w:val="0083263C"/>
    <w:rsid w:val="00833E93"/>
    <w:rsid w:val="008352D2"/>
    <w:rsid w:val="00835491"/>
    <w:rsid w:val="00835CFB"/>
    <w:rsid w:val="008369EB"/>
    <w:rsid w:val="00845D36"/>
    <w:rsid w:val="00846A39"/>
    <w:rsid w:val="00855EAA"/>
    <w:rsid w:val="0085650F"/>
    <w:rsid w:val="008611AB"/>
    <w:rsid w:val="008630BB"/>
    <w:rsid w:val="00866849"/>
    <w:rsid w:val="00875FF4"/>
    <w:rsid w:val="00876CF3"/>
    <w:rsid w:val="008817BD"/>
    <w:rsid w:val="00883741"/>
    <w:rsid w:val="00887831"/>
    <w:rsid w:val="00897460"/>
    <w:rsid w:val="008A0976"/>
    <w:rsid w:val="008A0FCE"/>
    <w:rsid w:val="008A7542"/>
    <w:rsid w:val="008B5DE5"/>
    <w:rsid w:val="008C7299"/>
    <w:rsid w:val="008D20D1"/>
    <w:rsid w:val="008D3AE7"/>
    <w:rsid w:val="008D4774"/>
    <w:rsid w:val="008E72CD"/>
    <w:rsid w:val="008F0055"/>
    <w:rsid w:val="008F02FD"/>
    <w:rsid w:val="008F0DCE"/>
    <w:rsid w:val="008F2D3D"/>
    <w:rsid w:val="008F41B9"/>
    <w:rsid w:val="008F4956"/>
    <w:rsid w:val="0090681B"/>
    <w:rsid w:val="00911CCA"/>
    <w:rsid w:val="0091375A"/>
    <w:rsid w:val="00915890"/>
    <w:rsid w:val="00915C94"/>
    <w:rsid w:val="009219EE"/>
    <w:rsid w:val="00925B2A"/>
    <w:rsid w:val="00925EEE"/>
    <w:rsid w:val="00931F30"/>
    <w:rsid w:val="00934F33"/>
    <w:rsid w:val="0093574C"/>
    <w:rsid w:val="00941F70"/>
    <w:rsid w:val="00943421"/>
    <w:rsid w:val="00943757"/>
    <w:rsid w:val="00950979"/>
    <w:rsid w:val="0095111A"/>
    <w:rsid w:val="00954543"/>
    <w:rsid w:val="00966413"/>
    <w:rsid w:val="009722BA"/>
    <w:rsid w:val="00974FA4"/>
    <w:rsid w:val="0097552C"/>
    <w:rsid w:val="00981951"/>
    <w:rsid w:val="00992A52"/>
    <w:rsid w:val="00995757"/>
    <w:rsid w:val="009964D1"/>
    <w:rsid w:val="009A07F3"/>
    <w:rsid w:val="009A571C"/>
    <w:rsid w:val="009B43F7"/>
    <w:rsid w:val="009B49A1"/>
    <w:rsid w:val="009C1ABD"/>
    <w:rsid w:val="009C3E0F"/>
    <w:rsid w:val="009C4E82"/>
    <w:rsid w:val="009D1941"/>
    <w:rsid w:val="009D41C6"/>
    <w:rsid w:val="009D731A"/>
    <w:rsid w:val="009E2581"/>
    <w:rsid w:val="009E3F85"/>
    <w:rsid w:val="009F2AED"/>
    <w:rsid w:val="009F54F6"/>
    <w:rsid w:val="009F56DA"/>
    <w:rsid w:val="009F72A3"/>
    <w:rsid w:val="00A01FC5"/>
    <w:rsid w:val="00A03BC2"/>
    <w:rsid w:val="00A06325"/>
    <w:rsid w:val="00A11650"/>
    <w:rsid w:val="00A150C2"/>
    <w:rsid w:val="00A20020"/>
    <w:rsid w:val="00A30DF8"/>
    <w:rsid w:val="00A36259"/>
    <w:rsid w:val="00A368B6"/>
    <w:rsid w:val="00A418BF"/>
    <w:rsid w:val="00A41B61"/>
    <w:rsid w:val="00A43F95"/>
    <w:rsid w:val="00A44D66"/>
    <w:rsid w:val="00A45646"/>
    <w:rsid w:val="00A46C7A"/>
    <w:rsid w:val="00A50809"/>
    <w:rsid w:val="00A52586"/>
    <w:rsid w:val="00A56FC0"/>
    <w:rsid w:val="00A57B35"/>
    <w:rsid w:val="00A62A5A"/>
    <w:rsid w:val="00A62CC2"/>
    <w:rsid w:val="00A63E5D"/>
    <w:rsid w:val="00A70F87"/>
    <w:rsid w:val="00A7300D"/>
    <w:rsid w:val="00A7327C"/>
    <w:rsid w:val="00A83C48"/>
    <w:rsid w:val="00AA53FE"/>
    <w:rsid w:val="00AA60D0"/>
    <w:rsid w:val="00AA674C"/>
    <w:rsid w:val="00AA6D01"/>
    <w:rsid w:val="00AB4034"/>
    <w:rsid w:val="00AB436E"/>
    <w:rsid w:val="00AB4409"/>
    <w:rsid w:val="00AB7A24"/>
    <w:rsid w:val="00AC3CC0"/>
    <w:rsid w:val="00AC5D7C"/>
    <w:rsid w:val="00AD12E1"/>
    <w:rsid w:val="00AD3B7C"/>
    <w:rsid w:val="00AD503F"/>
    <w:rsid w:val="00AD7CA7"/>
    <w:rsid w:val="00AF01D2"/>
    <w:rsid w:val="00AF0897"/>
    <w:rsid w:val="00AF41E5"/>
    <w:rsid w:val="00B014FA"/>
    <w:rsid w:val="00B06E35"/>
    <w:rsid w:val="00B1048C"/>
    <w:rsid w:val="00B105ED"/>
    <w:rsid w:val="00B1158E"/>
    <w:rsid w:val="00B11DCA"/>
    <w:rsid w:val="00B14B1A"/>
    <w:rsid w:val="00B213D1"/>
    <w:rsid w:val="00B22049"/>
    <w:rsid w:val="00B2269A"/>
    <w:rsid w:val="00B23F72"/>
    <w:rsid w:val="00B27148"/>
    <w:rsid w:val="00B3548C"/>
    <w:rsid w:val="00B37914"/>
    <w:rsid w:val="00B40D19"/>
    <w:rsid w:val="00B42EFC"/>
    <w:rsid w:val="00B47A2D"/>
    <w:rsid w:val="00B518FB"/>
    <w:rsid w:val="00B564F2"/>
    <w:rsid w:val="00B6412C"/>
    <w:rsid w:val="00B675E5"/>
    <w:rsid w:val="00B73419"/>
    <w:rsid w:val="00B73A35"/>
    <w:rsid w:val="00B746BB"/>
    <w:rsid w:val="00B764D5"/>
    <w:rsid w:val="00B81804"/>
    <w:rsid w:val="00B878A2"/>
    <w:rsid w:val="00BA0A5A"/>
    <w:rsid w:val="00BA5BF9"/>
    <w:rsid w:val="00BB0A2E"/>
    <w:rsid w:val="00BB4779"/>
    <w:rsid w:val="00BB7D3B"/>
    <w:rsid w:val="00BC0A15"/>
    <w:rsid w:val="00BC6564"/>
    <w:rsid w:val="00BC7F66"/>
    <w:rsid w:val="00BD0518"/>
    <w:rsid w:val="00BD1C8C"/>
    <w:rsid w:val="00BD4919"/>
    <w:rsid w:val="00BD5F0D"/>
    <w:rsid w:val="00BD67D1"/>
    <w:rsid w:val="00BE3AB4"/>
    <w:rsid w:val="00BE609C"/>
    <w:rsid w:val="00BE7631"/>
    <w:rsid w:val="00BF0E5F"/>
    <w:rsid w:val="00C01E15"/>
    <w:rsid w:val="00C15C3A"/>
    <w:rsid w:val="00C22804"/>
    <w:rsid w:val="00C2418A"/>
    <w:rsid w:val="00C301A5"/>
    <w:rsid w:val="00C3225B"/>
    <w:rsid w:val="00C45AC0"/>
    <w:rsid w:val="00C518E0"/>
    <w:rsid w:val="00C52980"/>
    <w:rsid w:val="00C53D79"/>
    <w:rsid w:val="00C55F1F"/>
    <w:rsid w:val="00C57B7F"/>
    <w:rsid w:val="00C6374C"/>
    <w:rsid w:val="00C679EB"/>
    <w:rsid w:val="00C93F68"/>
    <w:rsid w:val="00CA0B75"/>
    <w:rsid w:val="00CA468D"/>
    <w:rsid w:val="00CA5440"/>
    <w:rsid w:val="00CB0975"/>
    <w:rsid w:val="00CB1E68"/>
    <w:rsid w:val="00CB5096"/>
    <w:rsid w:val="00CC426D"/>
    <w:rsid w:val="00CD1149"/>
    <w:rsid w:val="00CD2ACD"/>
    <w:rsid w:val="00CD5375"/>
    <w:rsid w:val="00CD5F42"/>
    <w:rsid w:val="00CF3BD3"/>
    <w:rsid w:val="00CF47C2"/>
    <w:rsid w:val="00CF72B6"/>
    <w:rsid w:val="00CF7640"/>
    <w:rsid w:val="00CF7FCE"/>
    <w:rsid w:val="00D04247"/>
    <w:rsid w:val="00D049F7"/>
    <w:rsid w:val="00D06644"/>
    <w:rsid w:val="00D16609"/>
    <w:rsid w:val="00D172EF"/>
    <w:rsid w:val="00D17920"/>
    <w:rsid w:val="00D23EA1"/>
    <w:rsid w:val="00D30704"/>
    <w:rsid w:val="00D340D4"/>
    <w:rsid w:val="00D42D14"/>
    <w:rsid w:val="00D543ED"/>
    <w:rsid w:val="00D63949"/>
    <w:rsid w:val="00D813FE"/>
    <w:rsid w:val="00D84037"/>
    <w:rsid w:val="00D8412E"/>
    <w:rsid w:val="00D86694"/>
    <w:rsid w:val="00D8715E"/>
    <w:rsid w:val="00D9268C"/>
    <w:rsid w:val="00D94E2B"/>
    <w:rsid w:val="00D97C77"/>
    <w:rsid w:val="00DA09F6"/>
    <w:rsid w:val="00DA4AB8"/>
    <w:rsid w:val="00DA4ADB"/>
    <w:rsid w:val="00DB7FBF"/>
    <w:rsid w:val="00DC5053"/>
    <w:rsid w:val="00DC766B"/>
    <w:rsid w:val="00DD1789"/>
    <w:rsid w:val="00DE11EE"/>
    <w:rsid w:val="00DE46B6"/>
    <w:rsid w:val="00DE51A2"/>
    <w:rsid w:val="00DE7187"/>
    <w:rsid w:val="00DF3114"/>
    <w:rsid w:val="00DF4D4D"/>
    <w:rsid w:val="00DF6B1D"/>
    <w:rsid w:val="00DF7597"/>
    <w:rsid w:val="00E07D72"/>
    <w:rsid w:val="00E12CDC"/>
    <w:rsid w:val="00E16B9C"/>
    <w:rsid w:val="00E16E10"/>
    <w:rsid w:val="00E2719F"/>
    <w:rsid w:val="00E3055B"/>
    <w:rsid w:val="00E31DEF"/>
    <w:rsid w:val="00E37B9E"/>
    <w:rsid w:val="00E37EC0"/>
    <w:rsid w:val="00E37FDC"/>
    <w:rsid w:val="00E452EC"/>
    <w:rsid w:val="00E7164D"/>
    <w:rsid w:val="00E72217"/>
    <w:rsid w:val="00E76954"/>
    <w:rsid w:val="00E82921"/>
    <w:rsid w:val="00E82CDE"/>
    <w:rsid w:val="00E871BD"/>
    <w:rsid w:val="00E909CD"/>
    <w:rsid w:val="00E94894"/>
    <w:rsid w:val="00EA00A8"/>
    <w:rsid w:val="00EA2F3C"/>
    <w:rsid w:val="00EA368C"/>
    <w:rsid w:val="00EA52AB"/>
    <w:rsid w:val="00EB2453"/>
    <w:rsid w:val="00EB45DA"/>
    <w:rsid w:val="00EB5174"/>
    <w:rsid w:val="00EC03D1"/>
    <w:rsid w:val="00EC15AF"/>
    <w:rsid w:val="00EC74B2"/>
    <w:rsid w:val="00ED09E0"/>
    <w:rsid w:val="00EE4951"/>
    <w:rsid w:val="00EF75D6"/>
    <w:rsid w:val="00EF78E8"/>
    <w:rsid w:val="00F008D1"/>
    <w:rsid w:val="00F016E5"/>
    <w:rsid w:val="00F02417"/>
    <w:rsid w:val="00F025B6"/>
    <w:rsid w:val="00F10362"/>
    <w:rsid w:val="00F1058D"/>
    <w:rsid w:val="00F129DA"/>
    <w:rsid w:val="00F22BF1"/>
    <w:rsid w:val="00F25EC6"/>
    <w:rsid w:val="00F26814"/>
    <w:rsid w:val="00F3130B"/>
    <w:rsid w:val="00F336D3"/>
    <w:rsid w:val="00F41187"/>
    <w:rsid w:val="00F44AB9"/>
    <w:rsid w:val="00F47EE7"/>
    <w:rsid w:val="00F55D32"/>
    <w:rsid w:val="00F55EBA"/>
    <w:rsid w:val="00F60506"/>
    <w:rsid w:val="00F65E89"/>
    <w:rsid w:val="00F701FA"/>
    <w:rsid w:val="00F745FA"/>
    <w:rsid w:val="00F7493E"/>
    <w:rsid w:val="00F760F9"/>
    <w:rsid w:val="00F81640"/>
    <w:rsid w:val="00F87E9C"/>
    <w:rsid w:val="00F92E3E"/>
    <w:rsid w:val="00F93C8D"/>
    <w:rsid w:val="00F97A00"/>
    <w:rsid w:val="00FA012C"/>
    <w:rsid w:val="00FA6600"/>
    <w:rsid w:val="00FB43F5"/>
    <w:rsid w:val="00FB6EF2"/>
    <w:rsid w:val="00FC364B"/>
    <w:rsid w:val="00FC3F3E"/>
    <w:rsid w:val="00FD0DDA"/>
    <w:rsid w:val="00FD3B33"/>
    <w:rsid w:val="00FD715C"/>
    <w:rsid w:val="00FD7949"/>
    <w:rsid w:val="00FE6E64"/>
    <w:rsid w:val="00FF0F4E"/>
    <w:rsid w:val="00FF6019"/>
    <w:rsid w:val="1FEE3E40"/>
    <w:rsid w:val="3A806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363EA"/>
  <w15:docId w15:val="{2B7C0763-3A5D-4019-BEAA-4F691CBD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9EE"/>
    <w:pPr>
      <w:widowControl w:val="0"/>
      <w:jc w:val="both"/>
    </w:pPr>
    <w:rPr>
      <w:kern w:val="2"/>
      <w:sz w:val="21"/>
      <w:szCs w:val="22"/>
    </w:rPr>
  </w:style>
  <w:style w:type="paragraph" w:styleId="1">
    <w:name w:val="heading 1"/>
    <w:basedOn w:val="a"/>
    <w:next w:val="a"/>
    <w:link w:val="10"/>
    <w:uiPriority w:val="9"/>
    <w:qFormat/>
    <w:rsid w:val="009219EE"/>
    <w:pPr>
      <w:keepNext/>
      <w:keepLines/>
      <w:spacing w:before="340" w:after="330" w:line="578"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9219EE"/>
    <w:pPr>
      <w:jc w:val="left"/>
    </w:pPr>
  </w:style>
  <w:style w:type="paragraph" w:styleId="a5">
    <w:name w:val="Balloon Text"/>
    <w:basedOn w:val="a"/>
    <w:link w:val="a6"/>
    <w:uiPriority w:val="99"/>
    <w:semiHidden/>
    <w:unhideWhenUsed/>
    <w:rsid w:val="009219EE"/>
    <w:rPr>
      <w:sz w:val="18"/>
      <w:szCs w:val="18"/>
    </w:rPr>
  </w:style>
  <w:style w:type="paragraph" w:styleId="a7">
    <w:name w:val="footer"/>
    <w:basedOn w:val="a"/>
    <w:link w:val="a8"/>
    <w:uiPriority w:val="99"/>
    <w:unhideWhenUsed/>
    <w:rsid w:val="009219EE"/>
    <w:pPr>
      <w:tabs>
        <w:tab w:val="center" w:pos="4153"/>
        <w:tab w:val="right" w:pos="8306"/>
      </w:tabs>
      <w:snapToGrid w:val="0"/>
      <w:jc w:val="left"/>
    </w:pPr>
    <w:rPr>
      <w:sz w:val="18"/>
      <w:szCs w:val="18"/>
    </w:rPr>
  </w:style>
  <w:style w:type="paragraph" w:styleId="a9">
    <w:name w:val="header"/>
    <w:basedOn w:val="a"/>
    <w:link w:val="aa"/>
    <w:uiPriority w:val="99"/>
    <w:unhideWhenUsed/>
    <w:qFormat/>
    <w:rsid w:val="009219EE"/>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9219EE"/>
    <w:pPr>
      <w:widowControl/>
      <w:spacing w:before="100" w:beforeAutospacing="1" w:after="100" w:afterAutospacing="1"/>
      <w:jc w:val="left"/>
    </w:pPr>
    <w:rPr>
      <w:rFonts w:ascii="宋体" w:eastAsia="宋体" w:hAnsi="宋体" w:cs="宋体"/>
      <w:color w:val="000000"/>
      <w:kern w:val="0"/>
      <w:sz w:val="24"/>
      <w:szCs w:val="24"/>
    </w:rPr>
  </w:style>
  <w:style w:type="paragraph" w:styleId="ac">
    <w:name w:val="annotation subject"/>
    <w:basedOn w:val="a3"/>
    <w:next w:val="a3"/>
    <w:link w:val="ad"/>
    <w:uiPriority w:val="99"/>
    <w:semiHidden/>
    <w:unhideWhenUsed/>
    <w:qFormat/>
    <w:rsid w:val="009219EE"/>
    <w:rPr>
      <w:b/>
      <w:bCs/>
    </w:rPr>
  </w:style>
  <w:style w:type="character" w:styleId="ae">
    <w:name w:val="annotation reference"/>
    <w:basedOn w:val="a0"/>
    <w:uiPriority w:val="99"/>
    <w:semiHidden/>
    <w:unhideWhenUsed/>
    <w:rsid w:val="009219EE"/>
    <w:rPr>
      <w:sz w:val="21"/>
      <w:szCs w:val="21"/>
    </w:rPr>
  </w:style>
  <w:style w:type="paragraph" w:styleId="af">
    <w:name w:val="List Paragraph"/>
    <w:basedOn w:val="a"/>
    <w:uiPriority w:val="34"/>
    <w:qFormat/>
    <w:rsid w:val="009219EE"/>
    <w:pPr>
      <w:ind w:firstLineChars="200" w:firstLine="420"/>
    </w:pPr>
    <w:rPr>
      <w:rFonts w:ascii="Calibri" w:eastAsia="宋体" w:hAnsi="Calibri" w:cs="Times New Roman"/>
    </w:rPr>
  </w:style>
  <w:style w:type="paragraph" w:customStyle="1" w:styleId="Default">
    <w:name w:val="Default"/>
    <w:qFormat/>
    <w:rsid w:val="009219EE"/>
    <w:pPr>
      <w:widowControl w:val="0"/>
      <w:autoSpaceDE w:val="0"/>
      <w:autoSpaceDN w:val="0"/>
      <w:adjustRightInd w:val="0"/>
    </w:pPr>
    <w:rPr>
      <w:rFonts w:ascii="黑体" w:eastAsia="黑体" w:hAnsi="Calibri" w:cs="黑体"/>
      <w:color w:val="000000"/>
      <w:sz w:val="24"/>
      <w:szCs w:val="24"/>
    </w:rPr>
  </w:style>
  <w:style w:type="character" w:customStyle="1" w:styleId="a6">
    <w:name w:val="批注框文本 字符"/>
    <w:basedOn w:val="a0"/>
    <w:link w:val="a5"/>
    <w:uiPriority w:val="99"/>
    <w:semiHidden/>
    <w:qFormat/>
    <w:rsid w:val="009219EE"/>
    <w:rPr>
      <w:sz w:val="18"/>
      <w:szCs w:val="18"/>
    </w:rPr>
  </w:style>
  <w:style w:type="character" w:customStyle="1" w:styleId="aa">
    <w:name w:val="页眉 字符"/>
    <w:basedOn w:val="a0"/>
    <w:link w:val="a9"/>
    <w:uiPriority w:val="99"/>
    <w:rsid w:val="009219EE"/>
    <w:rPr>
      <w:sz w:val="18"/>
      <w:szCs w:val="18"/>
    </w:rPr>
  </w:style>
  <w:style w:type="character" w:customStyle="1" w:styleId="a8">
    <w:name w:val="页脚 字符"/>
    <w:basedOn w:val="a0"/>
    <w:link w:val="a7"/>
    <w:uiPriority w:val="99"/>
    <w:rsid w:val="009219EE"/>
    <w:rPr>
      <w:sz w:val="18"/>
      <w:szCs w:val="18"/>
    </w:rPr>
  </w:style>
  <w:style w:type="character" w:customStyle="1" w:styleId="a4">
    <w:name w:val="批注文字 字符"/>
    <w:basedOn w:val="a0"/>
    <w:link w:val="a3"/>
    <w:uiPriority w:val="99"/>
    <w:semiHidden/>
    <w:rsid w:val="009219EE"/>
  </w:style>
  <w:style w:type="character" w:customStyle="1" w:styleId="ad">
    <w:name w:val="批注主题 字符"/>
    <w:basedOn w:val="a4"/>
    <w:link w:val="ac"/>
    <w:uiPriority w:val="99"/>
    <w:semiHidden/>
    <w:qFormat/>
    <w:rsid w:val="009219EE"/>
    <w:rPr>
      <w:b/>
      <w:bCs/>
    </w:rPr>
  </w:style>
  <w:style w:type="character" w:customStyle="1" w:styleId="10">
    <w:name w:val="标题 1 字符"/>
    <w:basedOn w:val="a0"/>
    <w:link w:val="1"/>
    <w:uiPriority w:val="9"/>
    <w:qFormat/>
    <w:rsid w:val="009219EE"/>
    <w:rPr>
      <w:rFonts w:ascii="Calibri" w:eastAsia="宋体" w:hAnsi="Calibri"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2AA27F-6F44-42C5-97B7-2D08378F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8</Pages>
  <Words>671</Words>
  <Characters>3829</Characters>
  <Application>Microsoft Office Word</Application>
  <DocSecurity>0</DocSecurity>
  <Lines>31</Lines>
  <Paragraphs>8</Paragraphs>
  <ScaleCrop>false</ScaleCrop>
  <Company>MS</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yjsy-dax</cp:lastModifiedBy>
  <cp:revision>17</cp:revision>
  <dcterms:created xsi:type="dcterms:W3CDTF">2020-05-20T03:07:00Z</dcterms:created>
  <dcterms:modified xsi:type="dcterms:W3CDTF">2021-04-15T02:19:00Z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